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59C45" w14:textId="61AA9848" w:rsidR="00376694" w:rsidRDefault="00F75A5C" w:rsidP="00B14656">
      <w:pPr>
        <w:pStyle w:val="bParagraphtext"/>
      </w:pPr>
      <w:bookmarkStart w:id="0" w:name="_Toc55376448"/>
      <w:bookmarkStart w:id="1" w:name="_Toc87446586"/>
      <w:bookmarkStart w:id="2" w:name="_Toc87446829"/>
      <w:bookmarkStart w:id="3" w:name="_Toc87448944"/>
      <w:bookmarkStart w:id="4" w:name="_Toc87452402"/>
      <w:bookmarkStart w:id="5" w:name="_Toc87452444"/>
      <w:bookmarkStart w:id="6" w:name="_Toc87473050"/>
      <w:bookmarkStart w:id="7" w:name="_Toc87473386"/>
      <w:bookmarkStart w:id="8" w:name="_Toc87473463"/>
      <w:bookmarkStart w:id="9" w:name="_Toc87473516"/>
      <w:bookmarkStart w:id="10" w:name="_Toc87530198"/>
      <w:bookmarkStart w:id="11" w:name="_Toc88060721"/>
      <w:bookmarkStart w:id="12" w:name="_Toc88129382"/>
      <w:r>
        <w:rPr>
          <w:noProof/>
        </w:rPr>
        <w:object w:dxaOrig="1440" w:dyaOrig="1440" w14:anchorId="7F8CE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65pt;margin-top:-51.3pt;width:558.05pt;height:799.65pt;z-index:251657215;mso-position-horizontal-relative:text;mso-position-vertical-relative:text">
            <v:imagedata r:id="rId11" o:title=""/>
          </v:shape>
          <o:OLEObject Type="Embed" ProgID="Word.Document.12" ShapeID="_x0000_s1026" DrawAspect="Content" ObjectID="_1698748616" r:id="rId12">
            <o:FieldCodes>\s</o:FieldCodes>
          </o:OLEObject>
        </w:object>
      </w:r>
      <w:bookmarkEnd w:id="1"/>
      <w:bookmarkEnd w:id="2"/>
      <w:bookmarkEnd w:id="3"/>
      <w:bookmarkEnd w:id="4"/>
      <w:bookmarkEnd w:id="5"/>
      <w:bookmarkEnd w:id="6"/>
      <w:bookmarkEnd w:id="7"/>
      <w:bookmarkEnd w:id="8"/>
      <w:bookmarkEnd w:id="9"/>
      <w:bookmarkEnd w:id="10"/>
      <w:bookmarkEnd w:id="11"/>
      <w:bookmarkEnd w:id="12"/>
    </w:p>
    <w:p w14:paraId="364428C1" w14:textId="77777777" w:rsidR="00376694" w:rsidRDefault="00376694" w:rsidP="00EB27AB"/>
    <w:p w14:paraId="6F73F4A8" w14:textId="77777777" w:rsidR="00376694" w:rsidRDefault="00376694" w:rsidP="00EB27AB"/>
    <w:p w14:paraId="1FA26AB1" w14:textId="77777777" w:rsidR="00693FFC" w:rsidRDefault="00693FFC" w:rsidP="00EB27AB"/>
    <w:p w14:paraId="34E3D4F4" w14:textId="77777777" w:rsidR="00693FFC" w:rsidRDefault="00693FFC" w:rsidP="00EB27AB"/>
    <w:p w14:paraId="236D6783" w14:textId="77777777" w:rsidR="00693FFC" w:rsidRDefault="00693FFC" w:rsidP="00EB27AB"/>
    <w:p w14:paraId="3728E262" w14:textId="77777777" w:rsidR="00693FFC" w:rsidRDefault="00693FFC" w:rsidP="00EB27AB"/>
    <w:p w14:paraId="26485926" w14:textId="77777777" w:rsidR="00693FFC" w:rsidRDefault="00693FFC" w:rsidP="00EB27AB"/>
    <w:p w14:paraId="6F9D8463" w14:textId="77777777" w:rsidR="00300972" w:rsidRDefault="00300972" w:rsidP="00EB27AB"/>
    <w:p w14:paraId="08ECC36D" w14:textId="77777777" w:rsidR="00300972" w:rsidRDefault="00300972" w:rsidP="00EB27AB"/>
    <w:p w14:paraId="7E11F101" w14:textId="58AC32ED" w:rsidR="00300972" w:rsidRDefault="00300972" w:rsidP="00EB27AB"/>
    <w:p w14:paraId="390DF5FB" w14:textId="77777777" w:rsidR="00D56718" w:rsidRDefault="00D56718" w:rsidP="00EB27AB"/>
    <w:p w14:paraId="67A27FAA" w14:textId="77777777" w:rsidR="00D56718" w:rsidRDefault="00D56718" w:rsidP="00EB27AB"/>
    <w:p w14:paraId="600882A9" w14:textId="77777777" w:rsidR="00D56718" w:rsidRDefault="00D56718" w:rsidP="00EB27AB"/>
    <w:p w14:paraId="4189686F" w14:textId="77777777" w:rsidR="00D56718" w:rsidRDefault="00D56718" w:rsidP="00EB27AB"/>
    <w:p w14:paraId="4F783866" w14:textId="77777777" w:rsidR="00D56718" w:rsidRDefault="00D56718" w:rsidP="00EB27AB"/>
    <w:p w14:paraId="5218853C" w14:textId="77777777" w:rsidR="00D56718" w:rsidRDefault="00D56718" w:rsidP="00EB27AB"/>
    <w:p w14:paraId="11BC2305" w14:textId="77777777" w:rsidR="00D56718" w:rsidRDefault="00D56718" w:rsidP="00EB27AB"/>
    <w:p w14:paraId="79983095" w14:textId="77777777" w:rsidR="00D56718" w:rsidRDefault="00D56718" w:rsidP="00EB27AB"/>
    <w:p w14:paraId="5E8CC60E" w14:textId="77777777" w:rsidR="00D56718" w:rsidRDefault="00D56718" w:rsidP="00EB27AB"/>
    <w:p w14:paraId="5996DFBA" w14:textId="77777777" w:rsidR="00D56718" w:rsidRDefault="00D56718" w:rsidP="00EB27AB"/>
    <w:p w14:paraId="0C11B7D8" w14:textId="77777777" w:rsidR="00D56718" w:rsidRDefault="00D56718" w:rsidP="00EB27AB"/>
    <w:p w14:paraId="1EC681B5" w14:textId="77777777" w:rsidR="00D56718" w:rsidRDefault="00D56718" w:rsidP="00EB27AB"/>
    <w:p w14:paraId="406AC4FC" w14:textId="77777777" w:rsidR="00D56718" w:rsidRDefault="00D56718" w:rsidP="00EB27AB"/>
    <w:p w14:paraId="3628AAF1" w14:textId="77777777" w:rsidR="009725AC" w:rsidRDefault="009725AC" w:rsidP="00EB27AB"/>
    <w:p w14:paraId="5132B09F" w14:textId="77777777" w:rsidR="009725AC" w:rsidRDefault="009725AC" w:rsidP="00EB27AB"/>
    <w:p w14:paraId="20AEB222" w14:textId="77777777" w:rsidR="009725AC" w:rsidRDefault="009725AC" w:rsidP="00EB27AB"/>
    <w:p w14:paraId="68F48B2E" w14:textId="77777777" w:rsidR="009725AC" w:rsidRDefault="009725AC" w:rsidP="00EB27AB"/>
    <w:p w14:paraId="088C52D5" w14:textId="77777777" w:rsidR="009725AC" w:rsidRDefault="009725AC" w:rsidP="00EB27AB"/>
    <w:p w14:paraId="0A52772B" w14:textId="77777777" w:rsidR="009725AC" w:rsidRDefault="009725AC" w:rsidP="00EB27AB"/>
    <w:p w14:paraId="18B27288" w14:textId="77777777" w:rsidR="009725AC" w:rsidRDefault="009725AC" w:rsidP="00EB27AB"/>
    <w:p w14:paraId="38ACB5F8" w14:textId="77777777" w:rsidR="009725AC" w:rsidRDefault="009725AC" w:rsidP="00EB27AB"/>
    <w:p w14:paraId="54CDC6E1" w14:textId="77777777" w:rsidR="009725AC" w:rsidRDefault="009725AC" w:rsidP="00EB27AB"/>
    <w:p w14:paraId="75539321" w14:textId="77777777" w:rsidR="009725AC" w:rsidRDefault="009725AC" w:rsidP="00EB27AB"/>
    <w:p w14:paraId="224060B0" w14:textId="77777777" w:rsidR="009725AC" w:rsidRDefault="009725AC" w:rsidP="00EB27AB"/>
    <w:p w14:paraId="5F30C771" w14:textId="77777777" w:rsidR="00CE2F61" w:rsidRDefault="00CE2F61" w:rsidP="00EB27AB"/>
    <w:p w14:paraId="0BCF090F" w14:textId="77777777" w:rsidR="00B14656" w:rsidRDefault="00B14656" w:rsidP="00EB27AB"/>
    <w:p w14:paraId="2D848F86" w14:textId="77777777" w:rsidR="00B14656" w:rsidRDefault="00B14656" w:rsidP="00EB27AB"/>
    <w:p w14:paraId="5182C917" w14:textId="77777777" w:rsidR="00B14656" w:rsidRDefault="00B14656" w:rsidP="00EB27AB"/>
    <w:p w14:paraId="21696727" w14:textId="77777777" w:rsidR="00B14656" w:rsidRDefault="00B14656" w:rsidP="00EB27AB"/>
    <w:p w14:paraId="63A6F6F1" w14:textId="77777777" w:rsidR="00B14656" w:rsidRDefault="00B14656" w:rsidP="00EB27AB"/>
    <w:p w14:paraId="175C6919" w14:textId="77777777" w:rsidR="00B14656" w:rsidRDefault="00B14656" w:rsidP="00EB27AB"/>
    <w:p w14:paraId="4F38ACFD" w14:textId="77777777" w:rsidR="00B14656" w:rsidRDefault="00B14656" w:rsidP="00EB27AB"/>
    <w:p w14:paraId="4C5135A2" w14:textId="77777777" w:rsidR="00B14656" w:rsidRDefault="00B14656" w:rsidP="00EB27AB"/>
    <w:p w14:paraId="66CE8362" w14:textId="77777777" w:rsidR="00B14656" w:rsidRDefault="00B14656" w:rsidP="00EB27AB"/>
    <w:p w14:paraId="1382AB1C" w14:textId="77777777" w:rsidR="00CE2F61" w:rsidRDefault="00CE2F61" w:rsidP="00EB27AB"/>
    <w:p w14:paraId="1AC9F19E" w14:textId="77777777" w:rsidR="009725AC" w:rsidRDefault="009725AC" w:rsidP="00EB27AB"/>
    <w:tbl>
      <w:tblPr>
        <w:tblW w:w="0" w:type="auto"/>
        <w:tblBorders>
          <w:top w:val="nil"/>
          <w:left w:val="nil"/>
          <w:bottom w:val="nil"/>
          <w:right w:val="nil"/>
        </w:tblBorders>
        <w:tblLayout w:type="fixed"/>
        <w:tblLook w:val="0000" w:firstRow="0" w:lastRow="0" w:firstColumn="0" w:lastColumn="0" w:noHBand="0" w:noVBand="0"/>
      </w:tblPr>
      <w:tblGrid>
        <w:gridCol w:w="5920"/>
      </w:tblGrid>
      <w:tr w:rsidR="00693FFC" w:rsidRPr="00D03273" w14:paraId="32FC4B1C" w14:textId="77777777" w:rsidTr="108EF35C">
        <w:trPr>
          <w:trHeight w:val="140"/>
        </w:trPr>
        <w:tc>
          <w:tcPr>
            <w:tcW w:w="5920" w:type="dxa"/>
          </w:tcPr>
          <w:p w14:paraId="5F2F41CD" w14:textId="77BE9B77" w:rsidR="00693FFC" w:rsidRPr="00D03273" w:rsidRDefault="3CBA2F6D" w:rsidP="00816763">
            <w:pPr>
              <w:autoSpaceDE w:val="0"/>
              <w:autoSpaceDN w:val="0"/>
              <w:adjustRightInd w:val="0"/>
              <w:rPr>
                <w:rFonts w:cs="Calibri"/>
                <w:color w:val="000000"/>
              </w:rPr>
            </w:pPr>
            <w:r w:rsidRPr="108EF35C">
              <w:rPr>
                <w:rFonts w:cs="Calibri"/>
                <w:color w:val="000000" w:themeColor="text1"/>
              </w:rPr>
              <w:t>Planning Policy</w:t>
            </w:r>
            <w:r w:rsidR="00816763">
              <w:rPr>
                <w:rFonts w:cs="Calibri"/>
                <w:color w:val="000000" w:themeColor="text1"/>
              </w:rPr>
              <w:t>,</w:t>
            </w:r>
          </w:p>
        </w:tc>
      </w:tr>
      <w:tr w:rsidR="00693FFC" w:rsidRPr="00D03273" w14:paraId="6098E363" w14:textId="77777777" w:rsidTr="108EF35C">
        <w:trPr>
          <w:trHeight w:val="140"/>
        </w:trPr>
        <w:tc>
          <w:tcPr>
            <w:tcW w:w="5920" w:type="dxa"/>
          </w:tcPr>
          <w:p w14:paraId="397F3820" w14:textId="4167F5E9" w:rsidR="00693FFC" w:rsidRPr="00D03273" w:rsidRDefault="3CBA2F6D" w:rsidP="00816763">
            <w:pPr>
              <w:autoSpaceDE w:val="0"/>
              <w:autoSpaceDN w:val="0"/>
              <w:adjustRightInd w:val="0"/>
              <w:rPr>
                <w:rFonts w:cs="Calibri"/>
                <w:color w:val="000000"/>
              </w:rPr>
            </w:pPr>
            <w:r w:rsidRPr="108EF35C">
              <w:rPr>
                <w:rFonts w:cs="Calibri"/>
                <w:color w:val="000000" w:themeColor="text1"/>
              </w:rPr>
              <w:t>Planning</w:t>
            </w:r>
            <w:r w:rsidR="00816763">
              <w:rPr>
                <w:rFonts w:cs="Calibri"/>
                <w:color w:val="000000" w:themeColor="text1"/>
              </w:rPr>
              <w:t xml:space="preserve"> Services</w:t>
            </w:r>
          </w:p>
        </w:tc>
      </w:tr>
      <w:tr w:rsidR="00693FFC" w:rsidRPr="00D03273" w14:paraId="2825785C" w14:textId="77777777" w:rsidTr="108EF35C">
        <w:trPr>
          <w:trHeight w:val="140"/>
        </w:trPr>
        <w:tc>
          <w:tcPr>
            <w:tcW w:w="5920" w:type="dxa"/>
          </w:tcPr>
          <w:p w14:paraId="64583CE8" w14:textId="77777777" w:rsidR="00693FFC" w:rsidRPr="00D03273" w:rsidRDefault="3CBA2F6D" w:rsidP="00E92F67">
            <w:pPr>
              <w:autoSpaceDE w:val="0"/>
              <w:autoSpaceDN w:val="0"/>
              <w:adjustRightInd w:val="0"/>
              <w:rPr>
                <w:rFonts w:cs="Calibri"/>
                <w:color w:val="000000"/>
              </w:rPr>
            </w:pPr>
            <w:r w:rsidRPr="108EF35C">
              <w:rPr>
                <w:rFonts w:cs="Calibri"/>
                <w:color w:val="000000" w:themeColor="text1"/>
              </w:rPr>
              <w:t xml:space="preserve">Oxford City Council </w:t>
            </w:r>
          </w:p>
        </w:tc>
      </w:tr>
      <w:tr w:rsidR="00693FFC" w:rsidRPr="00D03273" w14:paraId="1AF15971" w14:textId="77777777" w:rsidTr="108EF35C">
        <w:trPr>
          <w:trHeight w:val="140"/>
        </w:trPr>
        <w:tc>
          <w:tcPr>
            <w:tcW w:w="5920" w:type="dxa"/>
          </w:tcPr>
          <w:p w14:paraId="4087205D" w14:textId="77777777" w:rsidR="00693FFC" w:rsidRPr="00D03273" w:rsidRDefault="3CBA2F6D" w:rsidP="00E92F67">
            <w:pPr>
              <w:autoSpaceDE w:val="0"/>
              <w:autoSpaceDN w:val="0"/>
              <w:adjustRightInd w:val="0"/>
              <w:rPr>
                <w:rFonts w:cs="Calibri"/>
                <w:color w:val="000000"/>
              </w:rPr>
            </w:pPr>
            <w:r w:rsidRPr="108EF35C">
              <w:rPr>
                <w:rFonts w:cs="Calibri"/>
                <w:color w:val="000000" w:themeColor="text1"/>
              </w:rPr>
              <w:t xml:space="preserve">St </w:t>
            </w:r>
            <w:proofErr w:type="spellStart"/>
            <w:r w:rsidRPr="108EF35C">
              <w:rPr>
                <w:rFonts w:cs="Calibri"/>
                <w:color w:val="000000" w:themeColor="text1"/>
              </w:rPr>
              <w:t>Aldate’s</w:t>
            </w:r>
            <w:proofErr w:type="spellEnd"/>
            <w:r w:rsidRPr="108EF35C">
              <w:rPr>
                <w:rFonts w:cs="Calibri"/>
                <w:color w:val="000000" w:themeColor="text1"/>
              </w:rPr>
              <w:t xml:space="preserve"> Chambers </w:t>
            </w:r>
          </w:p>
        </w:tc>
      </w:tr>
      <w:tr w:rsidR="00693FFC" w:rsidRPr="00D03273" w14:paraId="1B52431E" w14:textId="77777777" w:rsidTr="108EF35C">
        <w:trPr>
          <w:trHeight w:val="140"/>
        </w:trPr>
        <w:tc>
          <w:tcPr>
            <w:tcW w:w="5920" w:type="dxa"/>
          </w:tcPr>
          <w:p w14:paraId="38010CBB" w14:textId="77777777" w:rsidR="00693FFC" w:rsidRPr="00D03273" w:rsidRDefault="3CBA2F6D" w:rsidP="00E92F67">
            <w:pPr>
              <w:autoSpaceDE w:val="0"/>
              <w:autoSpaceDN w:val="0"/>
              <w:adjustRightInd w:val="0"/>
              <w:rPr>
                <w:rFonts w:cs="Calibri"/>
                <w:color w:val="000000"/>
              </w:rPr>
            </w:pPr>
            <w:r w:rsidRPr="108EF35C">
              <w:rPr>
                <w:rFonts w:cs="Calibri"/>
                <w:color w:val="000000" w:themeColor="text1"/>
              </w:rPr>
              <w:t xml:space="preserve">109-113 St </w:t>
            </w:r>
            <w:proofErr w:type="spellStart"/>
            <w:r w:rsidRPr="108EF35C">
              <w:rPr>
                <w:rFonts w:cs="Calibri"/>
                <w:color w:val="000000" w:themeColor="text1"/>
              </w:rPr>
              <w:t>Aldate’s</w:t>
            </w:r>
            <w:proofErr w:type="spellEnd"/>
            <w:r w:rsidRPr="108EF35C">
              <w:rPr>
                <w:rFonts w:cs="Calibri"/>
                <w:color w:val="000000" w:themeColor="text1"/>
              </w:rPr>
              <w:t xml:space="preserve"> </w:t>
            </w:r>
          </w:p>
        </w:tc>
      </w:tr>
      <w:tr w:rsidR="00693FFC" w:rsidRPr="00D03273" w14:paraId="2D35329F" w14:textId="77777777" w:rsidTr="108EF35C">
        <w:trPr>
          <w:trHeight w:val="140"/>
        </w:trPr>
        <w:tc>
          <w:tcPr>
            <w:tcW w:w="5920" w:type="dxa"/>
          </w:tcPr>
          <w:p w14:paraId="3DE59FEE" w14:textId="77777777" w:rsidR="00693FFC" w:rsidRPr="00D03273" w:rsidRDefault="3CBA2F6D" w:rsidP="00E92F67">
            <w:pPr>
              <w:autoSpaceDE w:val="0"/>
              <w:autoSpaceDN w:val="0"/>
              <w:adjustRightInd w:val="0"/>
              <w:rPr>
                <w:rFonts w:cs="Calibri"/>
                <w:color w:val="000000"/>
              </w:rPr>
            </w:pPr>
            <w:r w:rsidRPr="108EF35C">
              <w:rPr>
                <w:rFonts w:cs="Calibri"/>
                <w:color w:val="000000" w:themeColor="text1"/>
              </w:rPr>
              <w:t xml:space="preserve">OXFORD </w:t>
            </w:r>
          </w:p>
        </w:tc>
      </w:tr>
      <w:tr w:rsidR="00693FFC" w:rsidRPr="00D03273" w14:paraId="2A1C5038" w14:textId="77777777" w:rsidTr="108EF35C">
        <w:trPr>
          <w:trHeight w:val="140"/>
        </w:trPr>
        <w:tc>
          <w:tcPr>
            <w:tcW w:w="5920" w:type="dxa"/>
          </w:tcPr>
          <w:p w14:paraId="6CE3CA56" w14:textId="77777777" w:rsidR="00693FFC" w:rsidRPr="00D03273" w:rsidRDefault="3CBA2F6D" w:rsidP="108EF35C">
            <w:pPr>
              <w:autoSpaceDE w:val="0"/>
              <w:autoSpaceDN w:val="0"/>
              <w:adjustRightInd w:val="0"/>
              <w:rPr>
                <w:color w:val="000000"/>
              </w:rPr>
            </w:pPr>
            <w:r w:rsidRPr="108EF35C">
              <w:rPr>
                <w:color w:val="000000" w:themeColor="text1"/>
              </w:rPr>
              <w:t>OX1 1DS</w:t>
            </w:r>
          </w:p>
          <w:p w14:paraId="79D63781" w14:textId="77777777" w:rsidR="00693FFC" w:rsidRPr="00D03273" w:rsidRDefault="00693FFC" w:rsidP="108EF35C">
            <w:pPr>
              <w:autoSpaceDE w:val="0"/>
              <w:autoSpaceDN w:val="0"/>
              <w:adjustRightInd w:val="0"/>
              <w:rPr>
                <w:color w:val="000000"/>
              </w:rPr>
            </w:pPr>
          </w:p>
        </w:tc>
      </w:tr>
    </w:tbl>
    <w:p w14:paraId="1B3E2DAB" w14:textId="77777777" w:rsidR="00693FFC" w:rsidRPr="00D03273" w:rsidRDefault="3CBA2F6D" w:rsidP="108EF35C">
      <w:r w:rsidRPr="108EF35C">
        <w:t>Tel: 01865 252847</w:t>
      </w:r>
    </w:p>
    <w:p w14:paraId="3B6AAAE0" w14:textId="77777777" w:rsidR="00693FFC" w:rsidRPr="00D03273" w:rsidRDefault="3CBA2F6D" w:rsidP="108EF35C">
      <w:r w:rsidRPr="108EF35C">
        <w:t>Email: planningpolicy@oxford.gov.uk</w:t>
      </w:r>
    </w:p>
    <w:p w14:paraId="062A1E3B" w14:textId="77CBB9A3" w:rsidR="00693FFC" w:rsidRDefault="3CBA2F6D" w:rsidP="108EF35C">
      <w:r w:rsidRPr="108EF35C">
        <w:t xml:space="preserve">Website: </w:t>
      </w:r>
      <w:hyperlink r:id="rId13" w:history="1">
        <w:r w:rsidR="00D56718" w:rsidRPr="008B2A25">
          <w:rPr>
            <w:rStyle w:val="Hyperlink"/>
          </w:rPr>
          <w:t>www.oxford.gov.uk/planningpolicy</w:t>
        </w:r>
      </w:hyperlink>
    </w:p>
    <w:p w14:paraId="658918DD" w14:textId="77777777" w:rsidR="00D56718" w:rsidRPr="00D03273" w:rsidRDefault="00D56718" w:rsidP="108EF35C"/>
    <w:p w14:paraId="18D68285" w14:textId="77777777" w:rsidR="00693FFC" w:rsidRDefault="00693FFC" w:rsidP="108EF35C"/>
    <w:p w14:paraId="7859EDEC" w14:textId="77777777" w:rsidR="00693FFC" w:rsidRDefault="00693FFC" w:rsidP="108EF35C"/>
    <w:p w14:paraId="5E3A7D0B" w14:textId="55039919" w:rsidR="00D56718" w:rsidRDefault="3CBA2F6D">
      <w:r>
        <w:t xml:space="preserve">Published </w:t>
      </w:r>
      <w:r w:rsidR="7C30A8CA">
        <w:t>December 2021</w:t>
      </w:r>
      <w:r w:rsidR="00D56718">
        <w:br w:type="page"/>
      </w:r>
    </w:p>
    <w:sdt>
      <w:sdtPr>
        <w:rPr>
          <w:rFonts w:asciiTheme="minorHAnsi" w:eastAsiaTheme="minorHAnsi" w:hAnsiTheme="minorHAnsi" w:cstheme="minorBidi"/>
          <w:color w:val="auto"/>
          <w:sz w:val="22"/>
          <w:szCs w:val="22"/>
          <w:lang w:val="en-GB"/>
        </w:rPr>
        <w:id w:val="1543018720"/>
        <w:docPartObj>
          <w:docPartGallery w:val="Table of Contents"/>
          <w:docPartUnique/>
        </w:docPartObj>
      </w:sdtPr>
      <w:sdtEndPr>
        <w:rPr>
          <w:b/>
          <w:bCs/>
          <w:noProof/>
        </w:rPr>
      </w:sdtEndPr>
      <w:sdtContent>
        <w:p w14:paraId="2E4E8572" w14:textId="52BA0A9E" w:rsidR="00300972" w:rsidRPr="00300972" w:rsidRDefault="00360EAE" w:rsidP="00300972">
          <w:pPr>
            <w:pStyle w:val="TOCHeading"/>
            <w:spacing w:line="360" w:lineRule="auto"/>
          </w:pPr>
          <w:r>
            <w:t>Contents</w:t>
          </w:r>
        </w:p>
        <w:p w14:paraId="516FC26E" w14:textId="77777777" w:rsidR="00345EB1" w:rsidRDefault="00360EA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8135833" w:history="1">
            <w:r w:rsidR="00345EB1" w:rsidRPr="00DE2096">
              <w:rPr>
                <w:rStyle w:val="Hyperlink"/>
                <w:rFonts w:eastAsia="Calibri"/>
                <w:noProof/>
              </w:rPr>
              <w:t>Chapter 1: Introduction</w:t>
            </w:r>
            <w:r w:rsidR="00345EB1">
              <w:rPr>
                <w:noProof/>
                <w:webHidden/>
              </w:rPr>
              <w:tab/>
            </w:r>
            <w:r w:rsidR="00345EB1">
              <w:rPr>
                <w:noProof/>
                <w:webHidden/>
              </w:rPr>
              <w:fldChar w:fldCharType="begin"/>
            </w:r>
            <w:r w:rsidR="00345EB1">
              <w:rPr>
                <w:noProof/>
                <w:webHidden/>
              </w:rPr>
              <w:instrText xml:space="preserve"> PAGEREF _Toc88135833 \h </w:instrText>
            </w:r>
            <w:r w:rsidR="00345EB1">
              <w:rPr>
                <w:noProof/>
                <w:webHidden/>
              </w:rPr>
            </w:r>
            <w:r w:rsidR="00345EB1">
              <w:rPr>
                <w:noProof/>
                <w:webHidden/>
              </w:rPr>
              <w:fldChar w:fldCharType="separate"/>
            </w:r>
            <w:r w:rsidR="00345EB1">
              <w:rPr>
                <w:noProof/>
                <w:webHidden/>
              </w:rPr>
              <w:t>5</w:t>
            </w:r>
            <w:r w:rsidR="00345EB1">
              <w:rPr>
                <w:noProof/>
                <w:webHidden/>
              </w:rPr>
              <w:fldChar w:fldCharType="end"/>
            </w:r>
          </w:hyperlink>
        </w:p>
        <w:p w14:paraId="4782E47B" w14:textId="77777777" w:rsidR="00345EB1" w:rsidRDefault="00345EB1">
          <w:pPr>
            <w:pStyle w:val="TOC2"/>
            <w:tabs>
              <w:tab w:val="right" w:leader="dot" w:pos="9016"/>
            </w:tabs>
            <w:rPr>
              <w:rFonts w:eastAsiaTheme="minorEastAsia"/>
              <w:noProof/>
              <w:lang w:eastAsia="en-GB"/>
            </w:rPr>
          </w:pPr>
          <w:hyperlink w:anchor="_Toc88135834" w:history="1">
            <w:r w:rsidRPr="00DE2096">
              <w:rPr>
                <w:rStyle w:val="Hyperlink"/>
                <w:rFonts w:eastAsia="Calibri"/>
                <w:noProof/>
              </w:rPr>
              <w:t>Monitoring Framework</w:t>
            </w:r>
            <w:r>
              <w:rPr>
                <w:noProof/>
                <w:webHidden/>
              </w:rPr>
              <w:tab/>
            </w:r>
            <w:r>
              <w:rPr>
                <w:noProof/>
                <w:webHidden/>
              </w:rPr>
              <w:fldChar w:fldCharType="begin"/>
            </w:r>
            <w:r>
              <w:rPr>
                <w:noProof/>
                <w:webHidden/>
              </w:rPr>
              <w:instrText xml:space="preserve"> PAGEREF _Toc88135834 \h </w:instrText>
            </w:r>
            <w:r>
              <w:rPr>
                <w:noProof/>
                <w:webHidden/>
              </w:rPr>
            </w:r>
            <w:r>
              <w:rPr>
                <w:noProof/>
                <w:webHidden/>
              </w:rPr>
              <w:fldChar w:fldCharType="separate"/>
            </w:r>
            <w:r>
              <w:rPr>
                <w:noProof/>
                <w:webHidden/>
              </w:rPr>
              <w:t>5</w:t>
            </w:r>
            <w:r>
              <w:rPr>
                <w:noProof/>
                <w:webHidden/>
              </w:rPr>
              <w:fldChar w:fldCharType="end"/>
            </w:r>
          </w:hyperlink>
        </w:p>
        <w:p w14:paraId="03841974" w14:textId="77777777" w:rsidR="00345EB1" w:rsidRDefault="00345EB1">
          <w:pPr>
            <w:pStyle w:val="TOC2"/>
            <w:tabs>
              <w:tab w:val="right" w:leader="dot" w:pos="9016"/>
            </w:tabs>
            <w:rPr>
              <w:rFonts w:eastAsiaTheme="minorEastAsia"/>
              <w:noProof/>
              <w:lang w:eastAsia="en-GB"/>
            </w:rPr>
          </w:pPr>
          <w:hyperlink w:anchor="_Toc88135835" w:history="1">
            <w:r w:rsidRPr="00DE2096">
              <w:rPr>
                <w:rStyle w:val="Hyperlink"/>
                <w:noProof/>
              </w:rPr>
              <w:t>Structure of the Monitoring Report</w:t>
            </w:r>
            <w:r>
              <w:rPr>
                <w:noProof/>
                <w:webHidden/>
              </w:rPr>
              <w:tab/>
            </w:r>
            <w:r>
              <w:rPr>
                <w:noProof/>
                <w:webHidden/>
              </w:rPr>
              <w:fldChar w:fldCharType="begin"/>
            </w:r>
            <w:r>
              <w:rPr>
                <w:noProof/>
                <w:webHidden/>
              </w:rPr>
              <w:instrText xml:space="preserve"> PAGEREF _Toc88135835 \h </w:instrText>
            </w:r>
            <w:r>
              <w:rPr>
                <w:noProof/>
                <w:webHidden/>
              </w:rPr>
            </w:r>
            <w:r>
              <w:rPr>
                <w:noProof/>
                <w:webHidden/>
              </w:rPr>
              <w:fldChar w:fldCharType="separate"/>
            </w:r>
            <w:r>
              <w:rPr>
                <w:noProof/>
                <w:webHidden/>
              </w:rPr>
              <w:t>5</w:t>
            </w:r>
            <w:r>
              <w:rPr>
                <w:noProof/>
                <w:webHidden/>
              </w:rPr>
              <w:fldChar w:fldCharType="end"/>
            </w:r>
          </w:hyperlink>
        </w:p>
        <w:p w14:paraId="7DD137A7" w14:textId="77777777" w:rsidR="00345EB1" w:rsidRDefault="00345EB1">
          <w:pPr>
            <w:pStyle w:val="TOC1"/>
            <w:tabs>
              <w:tab w:val="right" w:leader="dot" w:pos="9016"/>
            </w:tabs>
            <w:rPr>
              <w:rFonts w:eastAsiaTheme="minorEastAsia"/>
              <w:noProof/>
              <w:lang w:eastAsia="en-GB"/>
            </w:rPr>
          </w:pPr>
          <w:hyperlink w:anchor="_Toc88135836" w:history="1">
            <w:r w:rsidRPr="00DE2096">
              <w:rPr>
                <w:rStyle w:val="Hyperlink"/>
                <w:rFonts w:eastAsia="Calibri"/>
                <w:noProof/>
              </w:rPr>
              <w:t>Chapter 2: Progress on development plan documents and other non-statutory documents.</w:t>
            </w:r>
            <w:r>
              <w:rPr>
                <w:noProof/>
                <w:webHidden/>
              </w:rPr>
              <w:tab/>
            </w:r>
            <w:r>
              <w:rPr>
                <w:noProof/>
                <w:webHidden/>
              </w:rPr>
              <w:fldChar w:fldCharType="begin"/>
            </w:r>
            <w:r>
              <w:rPr>
                <w:noProof/>
                <w:webHidden/>
              </w:rPr>
              <w:instrText xml:space="preserve"> PAGEREF _Toc88135836 \h </w:instrText>
            </w:r>
            <w:r>
              <w:rPr>
                <w:noProof/>
                <w:webHidden/>
              </w:rPr>
            </w:r>
            <w:r>
              <w:rPr>
                <w:noProof/>
                <w:webHidden/>
              </w:rPr>
              <w:fldChar w:fldCharType="separate"/>
            </w:r>
            <w:r>
              <w:rPr>
                <w:noProof/>
                <w:webHidden/>
              </w:rPr>
              <w:t>7</w:t>
            </w:r>
            <w:r>
              <w:rPr>
                <w:noProof/>
                <w:webHidden/>
              </w:rPr>
              <w:fldChar w:fldCharType="end"/>
            </w:r>
          </w:hyperlink>
        </w:p>
        <w:p w14:paraId="5E50EA91" w14:textId="77777777" w:rsidR="00345EB1" w:rsidRDefault="00345EB1">
          <w:pPr>
            <w:pStyle w:val="TOC2"/>
            <w:tabs>
              <w:tab w:val="right" w:leader="dot" w:pos="9016"/>
            </w:tabs>
            <w:rPr>
              <w:rFonts w:eastAsiaTheme="minorEastAsia"/>
              <w:noProof/>
              <w:lang w:eastAsia="en-GB"/>
            </w:rPr>
          </w:pPr>
          <w:hyperlink w:anchor="_Toc88135837" w:history="1">
            <w:r w:rsidRPr="00DE2096">
              <w:rPr>
                <w:rStyle w:val="Hyperlink"/>
                <w:rFonts w:eastAsia="Calibri"/>
                <w:noProof/>
              </w:rPr>
              <w:t>The Local Development Scheme</w:t>
            </w:r>
            <w:r>
              <w:rPr>
                <w:noProof/>
                <w:webHidden/>
              </w:rPr>
              <w:tab/>
            </w:r>
            <w:r>
              <w:rPr>
                <w:noProof/>
                <w:webHidden/>
              </w:rPr>
              <w:fldChar w:fldCharType="begin"/>
            </w:r>
            <w:r>
              <w:rPr>
                <w:noProof/>
                <w:webHidden/>
              </w:rPr>
              <w:instrText xml:space="preserve"> PAGEREF _Toc88135837 \h </w:instrText>
            </w:r>
            <w:r>
              <w:rPr>
                <w:noProof/>
                <w:webHidden/>
              </w:rPr>
            </w:r>
            <w:r>
              <w:rPr>
                <w:noProof/>
                <w:webHidden/>
              </w:rPr>
              <w:fldChar w:fldCharType="separate"/>
            </w:r>
            <w:r>
              <w:rPr>
                <w:noProof/>
                <w:webHidden/>
              </w:rPr>
              <w:t>7</w:t>
            </w:r>
            <w:r>
              <w:rPr>
                <w:noProof/>
                <w:webHidden/>
              </w:rPr>
              <w:fldChar w:fldCharType="end"/>
            </w:r>
          </w:hyperlink>
        </w:p>
        <w:p w14:paraId="6143A1E7" w14:textId="77777777" w:rsidR="00345EB1" w:rsidRDefault="00345EB1">
          <w:pPr>
            <w:pStyle w:val="TOC2"/>
            <w:tabs>
              <w:tab w:val="right" w:leader="dot" w:pos="9016"/>
            </w:tabs>
            <w:rPr>
              <w:rFonts w:eastAsiaTheme="minorEastAsia"/>
              <w:noProof/>
              <w:lang w:eastAsia="en-GB"/>
            </w:rPr>
          </w:pPr>
          <w:hyperlink w:anchor="_Toc88135838" w:history="1">
            <w:r w:rsidRPr="00DE2096">
              <w:rPr>
                <w:rStyle w:val="Hyperlink"/>
                <w:noProof/>
              </w:rPr>
              <w:t>Duty to Co-operate</w:t>
            </w:r>
            <w:r>
              <w:rPr>
                <w:noProof/>
                <w:webHidden/>
              </w:rPr>
              <w:tab/>
            </w:r>
            <w:r>
              <w:rPr>
                <w:noProof/>
                <w:webHidden/>
              </w:rPr>
              <w:fldChar w:fldCharType="begin"/>
            </w:r>
            <w:r>
              <w:rPr>
                <w:noProof/>
                <w:webHidden/>
              </w:rPr>
              <w:instrText xml:space="preserve"> PAGEREF _Toc88135838 \h </w:instrText>
            </w:r>
            <w:r>
              <w:rPr>
                <w:noProof/>
                <w:webHidden/>
              </w:rPr>
            </w:r>
            <w:r>
              <w:rPr>
                <w:noProof/>
                <w:webHidden/>
              </w:rPr>
              <w:fldChar w:fldCharType="separate"/>
            </w:r>
            <w:r>
              <w:rPr>
                <w:noProof/>
                <w:webHidden/>
              </w:rPr>
              <w:t>7</w:t>
            </w:r>
            <w:r>
              <w:rPr>
                <w:noProof/>
                <w:webHidden/>
              </w:rPr>
              <w:fldChar w:fldCharType="end"/>
            </w:r>
          </w:hyperlink>
        </w:p>
        <w:p w14:paraId="7AA703F7" w14:textId="77777777" w:rsidR="00345EB1" w:rsidRDefault="00345EB1">
          <w:pPr>
            <w:pStyle w:val="TOC2"/>
            <w:tabs>
              <w:tab w:val="right" w:leader="dot" w:pos="9016"/>
            </w:tabs>
            <w:rPr>
              <w:rFonts w:eastAsiaTheme="minorEastAsia"/>
              <w:noProof/>
              <w:lang w:eastAsia="en-GB"/>
            </w:rPr>
          </w:pPr>
          <w:hyperlink w:anchor="_Toc88135839" w:history="1">
            <w:r w:rsidRPr="00DE2096">
              <w:rPr>
                <w:rStyle w:val="Hyperlink"/>
                <w:rFonts w:eastAsia="Calibri"/>
                <w:noProof/>
              </w:rPr>
              <w:t>Neighbourhood Plans</w:t>
            </w:r>
            <w:r>
              <w:rPr>
                <w:noProof/>
                <w:webHidden/>
              </w:rPr>
              <w:tab/>
            </w:r>
            <w:r>
              <w:rPr>
                <w:noProof/>
                <w:webHidden/>
              </w:rPr>
              <w:fldChar w:fldCharType="begin"/>
            </w:r>
            <w:r>
              <w:rPr>
                <w:noProof/>
                <w:webHidden/>
              </w:rPr>
              <w:instrText xml:space="preserve"> PAGEREF _Toc88135839 \h </w:instrText>
            </w:r>
            <w:r>
              <w:rPr>
                <w:noProof/>
                <w:webHidden/>
              </w:rPr>
            </w:r>
            <w:r>
              <w:rPr>
                <w:noProof/>
                <w:webHidden/>
              </w:rPr>
              <w:fldChar w:fldCharType="separate"/>
            </w:r>
            <w:r>
              <w:rPr>
                <w:noProof/>
                <w:webHidden/>
              </w:rPr>
              <w:t>8</w:t>
            </w:r>
            <w:r>
              <w:rPr>
                <w:noProof/>
                <w:webHidden/>
              </w:rPr>
              <w:fldChar w:fldCharType="end"/>
            </w:r>
          </w:hyperlink>
        </w:p>
        <w:p w14:paraId="74500DE4" w14:textId="77777777" w:rsidR="00345EB1" w:rsidRDefault="00345EB1">
          <w:pPr>
            <w:pStyle w:val="TOC2"/>
            <w:tabs>
              <w:tab w:val="right" w:leader="dot" w:pos="9016"/>
            </w:tabs>
            <w:rPr>
              <w:rFonts w:eastAsiaTheme="minorEastAsia"/>
              <w:noProof/>
              <w:lang w:eastAsia="en-GB"/>
            </w:rPr>
          </w:pPr>
          <w:hyperlink w:anchor="_Toc88135840" w:history="1">
            <w:r w:rsidRPr="00DE2096">
              <w:rPr>
                <w:rStyle w:val="Hyperlink"/>
                <w:noProof/>
              </w:rPr>
              <w:t>Consultations</w:t>
            </w:r>
            <w:r>
              <w:rPr>
                <w:noProof/>
                <w:webHidden/>
              </w:rPr>
              <w:tab/>
            </w:r>
            <w:r>
              <w:rPr>
                <w:noProof/>
                <w:webHidden/>
              </w:rPr>
              <w:fldChar w:fldCharType="begin"/>
            </w:r>
            <w:r>
              <w:rPr>
                <w:noProof/>
                <w:webHidden/>
              </w:rPr>
              <w:instrText xml:space="preserve"> PAGEREF _Toc88135840 \h </w:instrText>
            </w:r>
            <w:r>
              <w:rPr>
                <w:noProof/>
                <w:webHidden/>
              </w:rPr>
            </w:r>
            <w:r>
              <w:rPr>
                <w:noProof/>
                <w:webHidden/>
              </w:rPr>
              <w:fldChar w:fldCharType="separate"/>
            </w:r>
            <w:r>
              <w:rPr>
                <w:noProof/>
                <w:webHidden/>
              </w:rPr>
              <w:t>8</w:t>
            </w:r>
            <w:r>
              <w:rPr>
                <w:noProof/>
                <w:webHidden/>
              </w:rPr>
              <w:fldChar w:fldCharType="end"/>
            </w:r>
          </w:hyperlink>
        </w:p>
        <w:p w14:paraId="3E31EB13" w14:textId="77777777" w:rsidR="00345EB1" w:rsidRDefault="00345EB1">
          <w:pPr>
            <w:pStyle w:val="TOC1"/>
            <w:tabs>
              <w:tab w:val="right" w:leader="dot" w:pos="9016"/>
            </w:tabs>
            <w:rPr>
              <w:rFonts w:eastAsiaTheme="minorEastAsia"/>
              <w:noProof/>
              <w:lang w:eastAsia="en-GB"/>
            </w:rPr>
          </w:pPr>
          <w:hyperlink w:anchor="_Toc88135841" w:history="1">
            <w:r w:rsidRPr="00DE2096">
              <w:rPr>
                <w:rStyle w:val="Hyperlink"/>
                <w:noProof/>
              </w:rPr>
              <w:t>Chapter 3: Fostering an Inclusive Economy</w:t>
            </w:r>
            <w:r>
              <w:rPr>
                <w:noProof/>
                <w:webHidden/>
              </w:rPr>
              <w:tab/>
            </w:r>
            <w:r>
              <w:rPr>
                <w:noProof/>
                <w:webHidden/>
              </w:rPr>
              <w:fldChar w:fldCharType="begin"/>
            </w:r>
            <w:r>
              <w:rPr>
                <w:noProof/>
                <w:webHidden/>
              </w:rPr>
              <w:instrText xml:space="preserve"> PAGEREF _Toc88135841 \h </w:instrText>
            </w:r>
            <w:r>
              <w:rPr>
                <w:noProof/>
                <w:webHidden/>
              </w:rPr>
            </w:r>
            <w:r>
              <w:rPr>
                <w:noProof/>
                <w:webHidden/>
              </w:rPr>
              <w:fldChar w:fldCharType="separate"/>
            </w:r>
            <w:r>
              <w:rPr>
                <w:noProof/>
                <w:webHidden/>
              </w:rPr>
              <w:t>9</w:t>
            </w:r>
            <w:r>
              <w:rPr>
                <w:noProof/>
                <w:webHidden/>
              </w:rPr>
              <w:fldChar w:fldCharType="end"/>
            </w:r>
          </w:hyperlink>
        </w:p>
        <w:p w14:paraId="1C140C80" w14:textId="77777777" w:rsidR="00345EB1" w:rsidRDefault="00345EB1">
          <w:pPr>
            <w:pStyle w:val="TOC2"/>
            <w:tabs>
              <w:tab w:val="right" w:leader="dot" w:pos="9016"/>
            </w:tabs>
            <w:rPr>
              <w:rFonts w:eastAsiaTheme="minorEastAsia"/>
              <w:noProof/>
              <w:lang w:eastAsia="en-GB"/>
            </w:rPr>
          </w:pPr>
          <w:hyperlink w:anchor="_Toc88135842" w:history="1">
            <w:r w:rsidRPr="00DE2096">
              <w:rPr>
                <w:rStyle w:val="Hyperlink"/>
                <w:noProof/>
              </w:rPr>
              <w:t>Employment Sites</w:t>
            </w:r>
            <w:r>
              <w:rPr>
                <w:noProof/>
                <w:webHidden/>
              </w:rPr>
              <w:tab/>
            </w:r>
            <w:r>
              <w:rPr>
                <w:noProof/>
                <w:webHidden/>
              </w:rPr>
              <w:fldChar w:fldCharType="begin"/>
            </w:r>
            <w:r>
              <w:rPr>
                <w:noProof/>
                <w:webHidden/>
              </w:rPr>
              <w:instrText xml:space="preserve"> PAGEREF _Toc88135842 \h </w:instrText>
            </w:r>
            <w:r>
              <w:rPr>
                <w:noProof/>
                <w:webHidden/>
              </w:rPr>
            </w:r>
            <w:r>
              <w:rPr>
                <w:noProof/>
                <w:webHidden/>
              </w:rPr>
              <w:fldChar w:fldCharType="separate"/>
            </w:r>
            <w:r>
              <w:rPr>
                <w:noProof/>
                <w:webHidden/>
              </w:rPr>
              <w:t>9</w:t>
            </w:r>
            <w:r>
              <w:rPr>
                <w:noProof/>
                <w:webHidden/>
              </w:rPr>
              <w:fldChar w:fldCharType="end"/>
            </w:r>
          </w:hyperlink>
        </w:p>
        <w:p w14:paraId="483040BF" w14:textId="77777777" w:rsidR="00345EB1" w:rsidRDefault="00345EB1">
          <w:pPr>
            <w:pStyle w:val="TOC2"/>
            <w:tabs>
              <w:tab w:val="right" w:leader="dot" w:pos="9016"/>
            </w:tabs>
            <w:rPr>
              <w:rFonts w:eastAsiaTheme="minorEastAsia"/>
              <w:noProof/>
              <w:lang w:eastAsia="en-GB"/>
            </w:rPr>
          </w:pPr>
          <w:hyperlink w:anchor="_Toc88135843" w:history="1">
            <w:r w:rsidRPr="00DE2096">
              <w:rPr>
                <w:rStyle w:val="Hyperlink"/>
                <w:noProof/>
              </w:rPr>
              <w:t>Growth of Oxford’s Universities</w:t>
            </w:r>
            <w:r>
              <w:rPr>
                <w:noProof/>
                <w:webHidden/>
              </w:rPr>
              <w:tab/>
            </w:r>
            <w:r>
              <w:rPr>
                <w:noProof/>
                <w:webHidden/>
              </w:rPr>
              <w:fldChar w:fldCharType="begin"/>
            </w:r>
            <w:r>
              <w:rPr>
                <w:noProof/>
                <w:webHidden/>
              </w:rPr>
              <w:instrText xml:space="preserve"> PAGEREF _Toc88135843 \h </w:instrText>
            </w:r>
            <w:r>
              <w:rPr>
                <w:noProof/>
                <w:webHidden/>
              </w:rPr>
            </w:r>
            <w:r>
              <w:rPr>
                <w:noProof/>
                <w:webHidden/>
              </w:rPr>
              <w:fldChar w:fldCharType="separate"/>
            </w:r>
            <w:r>
              <w:rPr>
                <w:noProof/>
                <w:webHidden/>
              </w:rPr>
              <w:t>12</w:t>
            </w:r>
            <w:r>
              <w:rPr>
                <w:noProof/>
                <w:webHidden/>
              </w:rPr>
              <w:fldChar w:fldCharType="end"/>
            </w:r>
          </w:hyperlink>
        </w:p>
        <w:p w14:paraId="7E30CCB4" w14:textId="77777777" w:rsidR="00345EB1" w:rsidRDefault="00345EB1">
          <w:pPr>
            <w:pStyle w:val="TOC2"/>
            <w:tabs>
              <w:tab w:val="right" w:leader="dot" w:pos="9016"/>
            </w:tabs>
            <w:rPr>
              <w:rFonts w:eastAsiaTheme="minorEastAsia"/>
              <w:noProof/>
              <w:lang w:eastAsia="en-GB"/>
            </w:rPr>
          </w:pPr>
          <w:hyperlink w:anchor="_Toc88135844" w:history="1">
            <w:r w:rsidRPr="00DE2096">
              <w:rPr>
                <w:rStyle w:val="Hyperlink"/>
                <w:noProof/>
              </w:rPr>
              <w:t>University Student Number Thresholds</w:t>
            </w:r>
            <w:r>
              <w:rPr>
                <w:noProof/>
                <w:webHidden/>
              </w:rPr>
              <w:tab/>
            </w:r>
            <w:r>
              <w:rPr>
                <w:noProof/>
                <w:webHidden/>
              </w:rPr>
              <w:fldChar w:fldCharType="begin"/>
            </w:r>
            <w:r>
              <w:rPr>
                <w:noProof/>
                <w:webHidden/>
              </w:rPr>
              <w:instrText xml:space="preserve"> PAGEREF _Toc88135844 \h </w:instrText>
            </w:r>
            <w:r>
              <w:rPr>
                <w:noProof/>
                <w:webHidden/>
              </w:rPr>
            </w:r>
            <w:r>
              <w:rPr>
                <w:noProof/>
                <w:webHidden/>
              </w:rPr>
              <w:fldChar w:fldCharType="separate"/>
            </w:r>
            <w:r>
              <w:rPr>
                <w:noProof/>
                <w:webHidden/>
              </w:rPr>
              <w:t>12</w:t>
            </w:r>
            <w:r>
              <w:rPr>
                <w:noProof/>
                <w:webHidden/>
              </w:rPr>
              <w:fldChar w:fldCharType="end"/>
            </w:r>
          </w:hyperlink>
        </w:p>
        <w:p w14:paraId="312A161E" w14:textId="77777777" w:rsidR="00345EB1" w:rsidRDefault="00345EB1">
          <w:pPr>
            <w:pStyle w:val="TOC2"/>
            <w:tabs>
              <w:tab w:val="right" w:leader="dot" w:pos="9016"/>
            </w:tabs>
            <w:rPr>
              <w:rFonts w:eastAsiaTheme="minorEastAsia"/>
              <w:noProof/>
              <w:lang w:eastAsia="en-GB"/>
            </w:rPr>
          </w:pPr>
          <w:hyperlink w:anchor="_Toc88135845" w:history="1">
            <w:r w:rsidRPr="00DE2096">
              <w:rPr>
                <w:rStyle w:val="Hyperlink"/>
                <w:noProof/>
              </w:rPr>
              <w:t>University of Oxford</w:t>
            </w:r>
            <w:r>
              <w:rPr>
                <w:noProof/>
                <w:webHidden/>
              </w:rPr>
              <w:tab/>
            </w:r>
            <w:r>
              <w:rPr>
                <w:noProof/>
                <w:webHidden/>
              </w:rPr>
              <w:fldChar w:fldCharType="begin"/>
            </w:r>
            <w:r>
              <w:rPr>
                <w:noProof/>
                <w:webHidden/>
              </w:rPr>
              <w:instrText xml:space="preserve"> PAGEREF _Toc88135845 \h </w:instrText>
            </w:r>
            <w:r>
              <w:rPr>
                <w:noProof/>
                <w:webHidden/>
              </w:rPr>
            </w:r>
            <w:r>
              <w:rPr>
                <w:noProof/>
                <w:webHidden/>
              </w:rPr>
              <w:fldChar w:fldCharType="separate"/>
            </w:r>
            <w:r>
              <w:rPr>
                <w:noProof/>
                <w:webHidden/>
              </w:rPr>
              <w:t>13</w:t>
            </w:r>
            <w:r>
              <w:rPr>
                <w:noProof/>
                <w:webHidden/>
              </w:rPr>
              <w:fldChar w:fldCharType="end"/>
            </w:r>
          </w:hyperlink>
        </w:p>
        <w:p w14:paraId="369F5923" w14:textId="77777777" w:rsidR="00345EB1" w:rsidRDefault="00345EB1">
          <w:pPr>
            <w:pStyle w:val="TOC2"/>
            <w:tabs>
              <w:tab w:val="right" w:leader="dot" w:pos="9016"/>
            </w:tabs>
            <w:rPr>
              <w:rFonts w:eastAsiaTheme="minorEastAsia"/>
              <w:noProof/>
              <w:lang w:eastAsia="en-GB"/>
            </w:rPr>
          </w:pPr>
          <w:hyperlink w:anchor="_Toc88135846" w:history="1">
            <w:r w:rsidRPr="00DE2096">
              <w:rPr>
                <w:rStyle w:val="Hyperlink"/>
                <w:noProof/>
              </w:rPr>
              <w:t>Oxford Brookes University</w:t>
            </w:r>
            <w:r>
              <w:rPr>
                <w:noProof/>
                <w:webHidden/>
              </w:rPr>
              <w:tab/>
            </w:r>
            <w:r>
              <w:rPr>
                <w:noProof/>
                <w:webHidden/>
              </w:rPr>
              <w:fldChar w:fldCharType="begin"/>
            </w:r>
            <w:r>
              <w:rPr>
                <w:noProof/>
                <w:webHidden/>
              </w:rPr>
              <w:instrText xml:space="preserve"> PAGEREF _Toc88135846 \h </w:instrText>
            </w:r>
            <w:r>
              <w:rPr>
                <w:noProof/>
                <w:webHidden/>
              </w:rPr>
            </w:r>
            <w:r>
              <w:rPr>
                <w:noProof/>
                <w:webHidden/>
              </w:rPr>
              <w:fldChar w:fldCharType="separate"/>
            </w:r>
            <w:r>
              <w:rPr>
                <w:noProof/>
                <w:webHidden/>
              </w:rPr>
              <w:t>14</w:t>
            </w:r>
            <w:r>
              <w:rPr>
                <w:noProof/>
                <w:webHidden/>
              </w:rPr>
              <w:fldChar w:fldCharType="end"/>
            </w:r>
          </w:hyperlink>
        </w:p>
        <w:p w14:paraId="1A2B5E32" w14:textId="77777777" w:rsidR="00345EB1" w:rsidRDefault="00345EB1">
          <w:pPr>
            <w:pStyle w:val="TOC2"/>
            <w:tabs>
              <w:tab w:val="right" w:leader="dot" w:pos="9016"/>
            </w:tabs>
            <w:rPr>
              <w:rFonts w:eastAsiaTheme="minorEastAsia"/>
              <w:noProof/>
              <w:lang w:eastAsia="en-GB"/>
            </w:rPr>
          </w:pPr>
          <w:hyperlink w:anchor="_Toc88135847" w:history="1">
            <w:r w:rsidRPr="00DE2096">
              <w:rPr>
                <w:rStyle w:val="Hyperlink"/>
                <w:noProof/>
              </w:rPr>
              <w:t>Ensuring Oxford is a vibrant and enjoyable city to live in and visit</w:t>
            </w:r>
            <w:r>
              <w:rPr>
                <w:noProof/>
                <w:webHidden/>
              </w:rPr>
              <w:tab/>
            </w:r>
            <w:r>
              <w:rPr>
                <w:noProof/>
                <w:webHidden/>
              </w:rPr>
              <w:fldChar w:fldCharType="begin"/>
            </w:r>
            <w:r>
              <w:rPr>
                <w:noProof/>
                <w:webHidden/>
              </w:rPr>
              <w:instrText xml:space="preserve"> PAGEREF _Toc88135847 \h </w:instrText>
            </w:r>
            <w:r>
              <w:rPr>
                <w:noProof/>
                <w:webHidden/>
              </w:rPr>
            </w:r>
            <w:r>
              <w:rPr>
                <w:noProof/>
                <w:webHidden/>
              </w:rPr>
              <w:fldChar w:fldCharType="separate"/>
            </w:r>
            <w:r>
              <w:rPr>
                <w:noProof/>
                <w:webHidden/>
              </w:rPr>
              <w:t>17</w:t>
            </w:r>
            <w:r>
              <w:rPr>
                <w:noProof/>
                <w:webHidden/>
              </w:rPr>
              <w:fldChar w:fldCharType="end"/>
            </w:r>
          </w:hyperlink>
        </w:p>
        <w:p w14:paraId="0CC96CC6" w14:textId="77777777" w:rsidR="00345EB1" w:rsidRDefault="00345EB1">
          <w:pPr>
            <w:pStyle w:val="TOC2"/>
            <w:tabs>
              <w:tab w:val="right" w:leader="dot" w:pos="9016"/>
            </w:tabs>
            <w:rPr>
              <w:rFonts w:eastAsiaTheme="minorEastAsia"/>
              <w:noProof/>
              <w:lang w:eastAsia="en-GB"/>
            </w:rPr>
          </w:pPr>
          <w:hyperlink w:anchor="_Toc88135848" w:history="1">
            <w:r w:rsidRPr="00DE2096">
              <w:rPr>
                <w:rStyle w:val="Hyperlink"/>
                <w:noProof/>
              </w:rPr>
              <w:t>Sustainable Tourism</w:t>
            </w:r>
            <w:r>
              <w:rPr>
                <w:noProof/>
                <w:webHidden/>
              </w:rPr>
              <w:tab/>
            </w:r>
            <w:r>
              <w:rPr>
                <w:noProof/>
                <w:webHidden/>
              </w:rPr>
              <w:fldChar w:fldCharType="begin"/>
            </w:r>
            <w:r>
              <w:rPr>
                <w:noProof/>
                <w:webHidden/>
              </w:rPr>
              <w:instrText xml:space="preserve"> PAGEREF _Toc88135848 \h </w:instrText>
            </w:r>
            <w:r>
              <w:rPr>
                <w:noProof/>
                <w:webHidden/>
              </w:rPr>
            </w:r>
            <w:r>
              <w:rPr>
                <w:noProof/>
                <w:webHidden/>
              </w:rPr>
              <w:fldChar w:fldCharType="separate"/>
            </w:r>
            <w:r>
              <w:rPr>
                <w:noProof/>
                <w:webHidden/>
              </w:rPr>
              <w:t>23</w:t>
            </w:r>
            <w:r>
              <w:rPr>
                <w:noProof/>
                <w:webHidden/>
              </w:rPr>
              <w:fldChar w:fldCharType="end"/>
            </w:r>
          </w:hyperlink>
        </w:p>
        <w:p w14:paraId="265E9BC8" w14:textId="77777777" w:rsidR="00345EB1" w:rsidRDefault="00345EB1">
          <w:pPr>
            <w:pStyle w:val="TOC1"/>
            <w:tabs>
              <w:tab w:val="right" w:leader="dot" w:pos="9016"/>
            </w:tabs>
            <w:rPr>
              <w:rFonts w:eastAsiaTheme="minorEastAsia"/>
              <w:noProof/>
              <w:lang w:eastAsia="en-GB"/>
            </w:rPr>
          </w:pPr>
          <w:hyperlink w:anchor="_Toc88135849" w:history="1">
            <w:r w:rsidRPr="00DE2096">
              <w:rPr>
                <w:rStyle w:val="Hyperlink"/>
                <w:noProof/>
              </w:rPr>
              <w:t>Chapter 4: Strong, vibrant and healthy communities</w:t>
            </w:r>
            <w:r>
              <w:rPr>
                <w:noProof/>
                <w:webHidden/>
              </w:rPr>
              <w:tab/>
            </w:r>
            <w:r>
              <w:rPr>
                <w:noProof/>
                <w:webHidden/>
              </w:rPr>
              <w:fldChar w:fldCharType="begin"/>
            </w:r>
            <w:r>
              <w:rPr>
                <w:noProof/>
                <w:webHidden/>
              </w:rPr>
              <w:instrText xml:space="preserve"> PAGEREF _Toc88135849 \h </w:instrText>
            </w:r>
            <w:r>
              <w:rPr>
                <w:noProof/>
                <w:webHidden/>
              </w:rPr>
            </w:r>
            <w:r>
              <w:rPr>
                <w:noProof/>
                <w:webHidden/>
              </w:rPr>
              <w:fldChar w:fldCharType="separate"/>
            </w:r>
            <w:r>
              <w:rPr>
                <w:noProof/>
                <w:webHidden/>
              </w:rPr>
              <w:t>24</w:t>
            </w:r>
            <w:r>
              <w:rPr>
                <w:noProof/>
                <w:webHidden/>
              </w:rPr>
              <w:fldChar w:fldCharType="end"/>
            </w:r>
          </w:hyperlink>
        </w:p>
        <w:p w14:paraId="168B15CF" w14:textId="77777777" w:rsidR="00345EB1" w:rsidRDefault="00345EB1">
          <w:pPr>
            <w:pStyle w:val="TOC2"/>
            <w:tabs>
              <w:tab w:val="right" w:leader="dot" w:pos="9016"/>
            </w:tabs>
            <w:rPr>
              <w:rFonts w:eastAsiaTheme="minorEastAsia"/>
              <w:noProof/>
              <w:lang w:eastAsia="en-GB"/>
            </w:rPr>
          </w:pPr>
          <w:hyperlink w:anchor="_Toc88135850" w:history="1">
            <w:r w:rsidRPr="00DE2096">
              <w:rPr>
                <w:rStyle w:val="Hyperlink"/>
                <w:noProof/>
              </w:rPr>
              <w:t>Housing completions</w:t>
            </w:r>
            <w:r>
              <w:rPr>
                <w:noProof/>
                <w:webHidden/>
              </w:rPr>
              <w:tab/>
            </w:r>
            <w:r>
              <w:rPr>
                <w:noProof/>
                <w:webHidden/>
              </w:rPr>
              <w:fldChar w:fldCharType="begin"/>
            </w:r>
            <w:r>
              <w:rPr>
                <w:noProof/>
                <w:webHidden/>
              </w:rPr>
              <w:instrText xml:space="preserve"> PAGEREF _Toc88135850 \h </w:instrText>
            </w:r>
            <w:r>
              <w:rPr>
                <w:noProof/>
                <w:webHidden/>
              </w:rPr>
            </w:r>
            <w:r>
              <w:rPr>
                <w:noProof/>
                <w:webHidden/>
              </w:rPr>
              <w:fldChar w:fldCharType="separate"/>
            </w:r>
            <w:r>
              <w:rPr>
                <w:noProof/>
                <w:webHidden/>
              </w:rPr>
              <w:t>24</w:t>
            </w:r>
            <w:r>
              <w:rPr>
                <w:noProof/>
                <w:webHidden/>
              </w:rPr>
              <w:fldChar w:fldCharType="end"/>
            </w:r>
          </w:hyperlink>
        </w:p>
        <w:p w14:paraId="70D06AFB" w14:textId="77777777" w:rsidR="00345EB1" w:rsidRDefault="00345EB1">
          <w:pPr>
            <w:pStyle w:val="TOC2"/>
            <w:tabs>
              <w:tab w:val="right" w:leader="dot" w:pos="9016"/>
            </w:tabs>
            <w:rPr>
              <w:rFonts w:eastAsiaTheme="minorEastAsia"/>
              <w:noProof/>
              <w:lang w:eastAsia="en-GB"/>
            </w:rPr>
          </w:pPr>
          <w:hyperlink w:anchor="_Toc88135851" w:history="1">
            <w:r w:rsidRPr="00DE2096">
              <w:rPr>
                <w:rStyle w:val="Hyperlink"/>
                <w:noProof/>
              </w:rPr>
              <w:t>Changes of use</w:t>
            </w:r>
            <w:r>
              <w:rPr>
                <w:noProof/>
                <w:webHidden/>
              </w:rPr>
              <w:tab/>
            </w:r>
            <w:r>
              <w:rPr>
                <w:noProof/>
                <w:webHidden/>
              </w:rPr>
              <w:fldChar w:fldCharType="begin"/>
            </w:r>
            <w:r>
              <w:rPr>
                <w:noProof/>
                <w:webHidden/>
              </w:rPr>
              <w:instrText xml:space="preserve"> PAGEREF _Toc88135851 \h </w:instrText>
            </w:r>
            <w:r>
              <w:rPr>
                <w:noProof/>
                <w:webHidden/>
              </w:rPr>
            </w:r>
            <w:r>
              <w:rPr>
                <w:noProof/>
                <w:webHidden/>
              </w:rPr>
              <w:fldChar w:fldCharType="separate"/>
            </w:r>
            <w:r>
              <w:rPr>
                <w:noProof/>
                <w:webHidden/>
              </w:rPr>
              <w:t>27</w:t>
            </w:r>
            <w:r>
              <w:rPr>
                <w:noProof/>
                <w:webHidden/>
              </w:rPr>
              <w:fldChar w:fldCharType="end"/>
            </w:r>
          </w:hyperlink>
        </w:p>
        <w:p w14:paraId="06A515A6" w14:textId="77777777" w:rsidR="00345EB1" w:rsidRDefault="00345EB1">
          <w:pPr>
            <w:pStyle w:val="TOC2"/>
            <w:tabs>
              <w:tab w:val="right" w:leader="dot" w:pos="9016"/>
            </w:tabs>
            <w:rPr>
              <w:rFonts w:eastAsiaTheme="minorEastAsia"/>
              <w:noProof/>
              <w:lang w:eastAsia="en-GB"/>
            </w:rPr>
          </w:pPr>
          <w:hyperlink w:anchor="_Toc88135852" w:history="1">
            <w:r w:rsidRPr="00DE2096">
              <w:rPr>
                <w:rStyle w:val="Hyperlink"/>
                <w:noProof/>
              </w:rPr>
              <w:t>Student Accommodation and Housing Numbers</w:t>
            </w:r>
            <w:r>
              <w:rPr>
                <w:noProof/>
                <w:webHidden/>
              </w:rPr>
              <w:tab/>
            </w:r>
            <w:r>
              <w:rPr>
                <w:noProof/>
                <w:webHidden/>
              </w:rPr>
              <w:fldChar w:fldCharType="begin"/>
            </w:r>
            <w:r>
              <w:rPr>
                <w:noProof/>
                <w:webHidden/>
              </w:rPr>
              <w:instrText xml:space="preserve"> PAGEREF _Toc88135852 \h </w:instrText>
            </w:r>
            <w:r>
              <w:rPr>
                <w:noProof/>
                <w:webHidden/>
              </w:rPr>
            </w:r>
            <w:r>
              <w:rPr>
                <w:noProof/>
                <w:webHidden/>
              </w:rPr>
              <w:fldChar w:fldCharType="separate"/>
            </w:r>
            <w:r>
              <w:rPr>
                <w:noProof/>
                <w:webHidden/>
              </w:rPr>
              <w:t>29</w:t>
            </w:r>
            <w:r>
              <w:rPr>
                <w:noProof/>
                <w:webHidden/>
              </w:rPr>
              <w:fldChar w:fldCharType="end"/>
            </w:r>
          </w:hyperlink>
        </w:p>
        <w:p w14:paraId="063C3B87" w14:textId="77777777" w:rsidR="00345EB1" w:rsidRDefault="00345EB1">
          <w:pPr>
            <w:pStyle w:val="TOC2"/>
            <w:tabs>
              <w:tab w:val="right" w:leader="dot" w:pos="9016"/>
            </w:tabs>
            <w:rPr>
              <w:rFonts w:eastAsiaTheme="minorEastAsia"/>
              <w:noProof/>
              <w:lang w:eastAsia="en-GB"/>
            </w:rPr>
          </w:pPr>
          <w:hyperlink w:anchor="_Toc88135853" w:history="1">
            <w:r w:rsidRPr="00DE2096">
              <w:rPr>
                <w:rStyle w:val="Hyperlink"/>
                <w:noProof/>
              </w:rPr>
              <w:t>Care Homes and Housing Numbers</w:t>
            </w:r>
            <w:r>
              <w:rPr>
                <w:noProof/>
                <w:webHidden/>
              </w:rPr>
              <w:tab/>
            </w:r>
            <w:r>
              <w:rPr>
                <w:noProof/>
                <w:webHidden/>
              </w:rPr>
              <w:fldChar w:fldCharType="begin"/>
            </w:r>
            <w:r>
              <w:rPr>
                <w:noProof/>
                <w:webHidden/>
              </w:rPr>
              <w:instrText xml:space="preserve"> PAGEREF _Toc88135853 \h </w:instrText>
            </w:r>
            <w:r>
              <w:rPr>
                <w:noProof/>
                <w:webHidden/>
              </w:rPr>
            </w:r>
            <w:r>
              <w:rPr>
                <w:noProof/>
                <w:webHidden/>
              </w:rPr>
              <w:fldChar w:fldCharType="separate"/>
            </w:r>
            <w:r>
              <w:rPr>
                <w:noProof/>
                <w:webHidden/>
              </w:rPr>
              <w:t>30</w:t>
            </w:r>
            <w:r>
              <w:rPr>
                <w:noProof/>
                <w:webHidden/>
              </w:rPr>
              <w:fldChar w:fldCharType="end"/>
            </w:r>
          </w:hyperlink>
        </w:p>
        <w:p w14:paraId="4FC462B0" w14:textId="77777777" w:rsidR="00345EB1" w:rsidRDefault="00345EB1">
          <w:pPr>
            <w:pStyle w:val="TOC2"/>
            <w:tabs>
              <w:tab w:val="right" w:leader="dot" w:pos="9016"/>
            </w:tabs>
            <w:rPr>
              <w:rFonts w:eastAsiaTheme="minorEastAsia"/>
              <w:noProof/>
              <w:lang w:eastAsia="en-GB"/>
            </w:rPr>
          </w:pPr>
          <w:hyperlink w:anchor="_Toc88135854" w:history="1">
            <w:r w:rsidRPr="00DE2096">
              <w:rPr>
                <w:rStyle w:val="Hyperlink"/>
                <w:noProof/>
              </w:rPr>
              <w:t>Housing Permissions</w:t>
            </w:r>
            <w:r>
              <w:rPr>
                <w:noProof/>
                <w:webHidden/>
              </w:rPr>
              <w:tab/>
            </w:r>
            <w:r>
              <w:rPr>
                <w:noProof/>
                <w:webHidden/>
              </w:rPr>
              <w:fldChar w:fldCharType="begin"/>
            </w:r>
            <w:r>
              <w:rPr>
                <w:noProof/>
                <w:webHidden/>
              </w:rPr>
              <w:instrText xml:space="preserve"> PAGEREF _Toc88135854 \h </w:instrText>
            </w:r>
            <w:r>
              <w:rPr>
                <w:noProof/>
                <w:webHidden/>
              </w:rPr>
            </w:r>
            <w:r>
              <w:rPr>
                <w:noProof/>
                <w:webHidden/>
              </w:rPr>
              <w:fldChar w:fldCharType="separate"/>
            </w:r>
            <w:r>
              <w:rPr>
                <w:noProof/>
                <w:webHidden/>
              </w:rPr>
              <w:t>31</w:t>
            </w:r>
            <w:r>
              <w:rPr>
                <w:noProof/>
                <w:webHidden/>
              </w:rPr>
              <w:fldChar w:fldCharType="end"/>
            </w:r>
          </w:hyperlink>
        </w:p>
        <w:p w14:paraId="3C0AE011" w14:textId="77777777" w:rsidR="00345EB1" w:rsidRDefault="00345EB1">
          <w:pPr>
            <w:pStyle w:val="TOC2"/>
            <w:tabs>
              <w:tab w:val="right" w:leader="dot" w:pos="9016"/>
            </w:tabs>
            <w:rPr>
              <w:rFonts w:eastAsiaTheme="minorEastAsia"/>
              <w:noProof/>
              <w:lang w:eastAsia="en-GB"/>
            </w:rPr>
          </w:pPr>
          <w:hyperlink w:anchor="_Toc88135855" w:history="1">
            <w:r w:rsidRPr="00DE2096">
              <w:rPr>
                <w:rStyle w:val="Hyperlink"/>
                <w:noProof/>
              </w:rPr>
              <w:t>Employer-linked affordable housing</w:t>
            </w:r>
            <w:r>
              <w:rPr>
                <w:noProof/>
                <w:webHidden/>
              </w:rPr>
              <w:tab/>
            </w:r>
            <w:r>
              <w:rPr>
                <w:noProof/>
                <w:webHidden/>
              </w:rPr>
              <w:fldChar w:fldCharType="begin"/>
            </w:r>
            <w:r>
              <w:rPr>
                <w:noProof/>
                <w:webHidden/>
              </w:rPr>
              <w:instrText xml:space="preserve"> PAGEREF _Toc88135855 \h </w:instrText>
            </w:r>
            <w:r>
              <w:rPr>
                <w:noProof/>
                <w:webHidden/>
              </w:rPr>
            </w:r>
            <w:r>
              <w:rPr>
                <w:noProof/>
                <w:webHidden/>
              </w:rPr>
              <w:fldChar w:fldCharType="separate"/>
            </w:r>
            <w:r>
              <w:rPr>
                <w:noProof/>
                <w:webHidden/>
              </w:rPr>
              <w:t>33</w:t>
            </w:r>
            <w:r>
              <w:rPr>
                <w:noProof/>
                <w:webHidden/>
              </w:rPr>
              <w:fldChar w:fldCharType="end"/>
            </w:r>
          </w:hyperlink>
        </w:p>
        <w:p w14:paraId="0842B5C2" w14:textId="77777777" w:rsidR="00345EB1" w:rsidRDefault="00345EB1">
          <w:pPr>
            <w:pStyle w:val="TOC2"/>
            <w:tabs>
              <w:tab w:val="right" w:leader="dot" w:pos="9016"/>
            </w:tabs>
            <w:rPr>
              <w:rFonts w:eastAsiaTheme="minorEastAsia"/>
              <w:noProof/>
              <w:lang w:eastAsia="en-GB"/>
            </w:rPr>
          </w:pPr>
          <w:hyperlink w:anchor="_Toc88135856" w:history="1">
            <w:r w:rsidRPr="00DE2096">
              <w:rPr>
                <w:rStyle w:val="Hyperlink"/>
                <w:noProof/>
              </w:rPr>
              <w:t>Community-led housing</w:t>
            </w:r>
            <w:r>
              <w:rPr>
                <w:noProof/>
                <w:webHidden/>
              </w:rPr>
              <w:tab/>
            </w:r>
            <w:r>
              <w:rPr>
                <w:noProof/>
                <w:webHidden/>
              </w:rPr>
              <w:fldChar w:fldCharType="begin"/>
            </w:r>
            <w:r>
              <w:rPr>
                <w:noProof/>
                <w:webHidden/>
              </w:rPr>
              <w:instrText xml:space="preserve"> PAGEREF _Toc88135856 \h </w:instrText>
            </w:r>
            <w:r>
              <w:rPr>
                <w:noProof/>
                <w:webHidden/>
              </w:rPr>
            </w:r>
            <w:r>
              <w:rPr>
                <w:noProof/>
                <w:webHidden/>
              </w:rPr>
              <w:fldChar w:fldCharType="separate"/>
            </w:r>
            <w:r>
              <w:rPr>
                <w:noProof/>
                <w:webHidden/>
              </w:rPr>
              <w:t>33</w:t>
            </w:r>
            <w:r>
              <w:rPr>
                <w:noProof/>
                <w:webHidden/>
              </w:rPr>
              <w:fldChar w:fldCharType="end"/>
            </w:r>
          </w:hyperlink>
        </w:p>
        <w:p w14:paraId="02439531" w14:textId="77777777" w:rsidR="00345EB1" w:rsidRDefault="00345EB1">
          <w:pPr>
            <w:pStyle w:val="TOC2"/>
            <w:tabs>
              <w:tab w:val="right" w:leader="dot" w:pos="9016"/>
            </w:tabs>
            <w:rPr>
              <w:rFonts w:eastAsiaTheme="minorEastAsia"/>
              <w:noProof/>
              <w:lang w:eastAsia="en-GB"/>
            </w:rPr>
          </w:pPr>
          <w:hyperlink w:anchor="_Toc88135857" w:history="1">
            <w:r w:rsidRPr="00DE2096">
              <w:rPr>
                <w:rStyle w:val="Hyperlink"/>
                <w:noProof/>
              </w:rPr>
              <w:t>Self-Build housing</w:t>
            </w:r>
            <w:r>
              <w:rPr>
                <w:noProof/>
                <w:webHidden/>
              </w:rPr>
              <w:tab/>
            </w:r>
            <w:r>
              <w:rPr>
                <w:noProof/>
                <w:webHidden/>
              </w:rPr>
              <w:fldChar w:fldCharType="begin"/>
            </w:r>
            <w:r>
              <w:rPr>
                <w:noProof/>
                <w:webHidden/>
              </w:rPr>
              <w:instrText xml:space="preserve"> PAGEREF _Toc88135857 \h </w:instrText>
            </w:r>
            <w:r>
              <w:rPr>
                <w:noProof/>
                <w:webHidden/>
              </w:rPr>
            </w:r>
            <w:r>
              <w:rPr>
                <w:noProof/>
                <w:webHidden/>
              </w:rPr>
              <w:fldChar w:fldCharType="separate"/>
            </w:r>
            <w:r>
              <w:rPr>
                <w:noProof/>
                <w:webHidden/>
              </w:rPr>
              <w:t>33</w:t>
            </w:r>
            <w:r>
              <w:rPr>
                <w:noProof/>
                <w:webHidden/>
              </w:rPr>
              <w:fldChar w:fldCharType="end"/>
            </w:r>
          </w:hyperlink>
        </w:p>
        <w:p w14:paraId="75BF37BD" w14:textId="77777777" w:rsidR="00345EB1" w:rsidRDefault="00345EB1">
          <w:pPr>
            <w:pStyle w:val="TOC2"/>
            <w:tabs>
              <w:tab w:val="right" w:leader="dot" w:pos="9016"/>
            </w:tabs>
            <w:rPr>
              <w:rFonts w:eastAsiaTheme="minorEastAsia"/>
              <w:noProof/>
              <w:lang w:eastAsia="en-GB"/>
            </w:rPr>
          </w:pPr>
          <w:hyperlink w:anchor="_Toc88135858" w:history="1">
            <w:r w:rsidRPr="00DE2096">
              <w:rPr>
                <w:rStyle w:val="Hyperlink"/>
                <w:noProof/>
              </w:rPr>
              <w:t>Provision of New Student Accommodation</w:t>
            </w:r>
            <w:r>
              <w:rPr>
                <w:noProof/>
                <w:webHidden/>
              </w:rPr>
              <w:tab/>
            </w:r>
            <w:r>
              <w:rPr>
                <w:noProof/>
                <w:webHidden/>
              </w:rPr>
              <w:fldChar w:fldCharType="begin"/>
            </w:r>
            <w:r>
              <w:rPr>
                <w:noProof/>
                <w:webHidden/>
              </w:rPr>
              <w:instrText xml:space="preserve"> PAGEREF _Toc88135858 \h </w:instrText>
            </w:r>
            <w:r>
              <w:rPr>
                <w:noProof/>
                <w:webHidden/>
              </w:rPr>
            </w:r>
            <w:r>
              <w:rPr>
                <w:noProof/>
                <w:webHidden/>
              </w:rPr>
              <w:fldChar w:fldCharType="separate"/>
            </w:r>
            <w:r>
              <w:rPr>
                <w:noProof/>
                <w:webHidden/>
              </w:rPr>
              <w:t>34</w:t>
            </w:r>
            <w:r>
              <w:rPr>
                <w:noProof/>
                <w:webHidden/>
              </w:rPr>
              <w:fldChar w:fldCharType="end"/>
            </w:r>
          </w:hyperlink>
        </w:p>
        <w:p w14:paraId="43CA3DAE" w14:textId="77777777" w:rsidR="00345EB1" w:rsidRDefault="00345EB1">
          <w:pPr>
            <w:pStyle w:val="TOC2"/>
            <w:tabs>
              <w:tab w:val="right" w:leader="dot" w:pos="9016"/>
            </w:tabs>
            <w:rPr>
              <w:rFonts w:eastAsiaTheme="minorEastAsia"/>
              <w:noProof/>
              <w:lang w:eastAsia="en-GB"/>
            </w:rPr>
          </w:pPr>
          <w:hyperlink w:anchor="_Toc88135859" w:history="1">
            <w:r w:rsidRPr="00DE2096">
              <w:rPr>
                <w:rStyle w:val="Hyperlink"/>
                <w:noProof/>
              </w:rPr>
              <w:t>Older Persons and Specialist and Supported Living Accommodation</w:t>
            </w:r>
            <w:r>
              <w:rPr>
                <w:noProof/>
                <w:webHidden/>
              </w:rPr>
              <w:tab/>
            </w:r>
            <w:r>
              <w:rPr>
                <w:noProof/>
                <w:webHidden/>
              </w:rPr>
              <w:fldChar w:fldCharType="begin"/>
            </w:r>
            <w:r>
              <w:rPr>
                <w:noProof/>
                <w:webHidden/>
              </w:rPr>
              <w:instrText xml:space="preserve"> PAGEREF _Toc88135859 \h </w:instrText>
            </w:r>
            <w:r>
              <w:rPr>
                <w:noProof/>
                <w:webHidden/>
              </w:rPr>
            </w:r>
            <w:r>
              <w:rPr>
                <w:noProof/>
                <w:webHidden/>
              </w:rPr>
              <w:fldChar w:fldCharType="separate"/>
            </w:r>
            <w:r>
              <w:rPr>
                <w:noProof/>
                <w:webHidden/>
              </w:rPr>
              <w:t>36</w:t>
            </w:r>
            <w:r>
              <w:rPr>
                <w:noProof/>
                <w:webHidden/>
              </w:rPr>
              <w:fldChar w:fldCharType="end"/>
            </w:r>
          </w:hyperlink>
        </w:p>
        <w:p w14:paraId="40AD1BE5" w14:textId="77777777" w:rsidR="00345EB1" w:rsidRDefault="00345EB1">
          <w:pPr>
            <w:pStyle w:val="TOC2"/>
            <w:tabs>
              <w:tab w:val="right" w:leader="dot" w:pos="9016"/>
            </w:tabs>
            <w:rPr>
              <w:rFonts w:eastAsiaTheme="minorEastAsia"/>
              <w:noProof/>
              <w:lang w:eastAsia="en-GB"/>
            </w:rPr>
          </w:pPr>
          <w:hyperlink w:anchor="_Toc88135860" w:history="1">
            <w:r w:rsidRPr="00DE2096">
              <w:rPr>
                <w:rStyle w:val="Hyperlink"/>
                <w:noProof/>
              </w:rPr>
              <w:t>Homes for travelling communities</w:t>
            </w:r>
            <w:r>
              <w:rPr>
                <w:noProof/>
                <w:webHidden/>
              </w:rPr>
              <w:tab/>
            </w:r>
            <w:r>
              <w:rPr>
                <w:noProof/>
                <w:webHidden/>
              </w:rPr>
              <w:fldChar w:fldCharType="begin"/>
            </w:r>
            <w:r>
              <w:rPr>
                <w:noProof/>
                <w:webHidden/>
              </w:rPr>
              <w:instrText xml:space="preserve"> PAGEREF _Toc88135860 \h </w:instrText>
            </w:r>
            <w:r>
              <w:rPr>
                <w:noProof/>
                <w:webHidden/>
              </w:rPr>
            </w:r>
            <w:r>
              <w:rPr>
                <w:noProof/>
                <w:webHidden/>
              </w:rPr>
              <w:fldChar w:fldCharType="separate"/>
            </w:r>
            <w:r>
              <w:rPr>
                <w:noProof/>
                <w:webHidden/>
              </w:rPr>
              <w:t>37</w:t>
            </w:r>
            <w:r>
              <w:rPr>
                <w:noProof/>
                <w:webHidden/>
              </w:rPr>
              <w:fldChar w:fldCharType="end"/>
            </w:r>
          </w:hyperlink>
        </w:p>
        <w:p w14:paraId="4C13F84F" w14:textId="77777777" w:rsidR="00345EB1" w:rsidRDefault="00345EB1">
          <w:pPr>
            <w:pStyle w:val="TOC2"/>
            <w:tabs>
              <w:tab w:val="right" w:leader="dot" w:pos="9016"/>
            </w:tabs>
            <w:rPr>
              <w:rFonts w:eastAsiaTheme="minorEastAsia"/>
              <w:noProof/>
              <w:lang w:eastAsia="en-GB"/>
            </w:rPr>
          </w:pPr>
          <w:hyperlink w:anchor="_Toc88135861" w:history="1">
            <w:r w:rsidRPr="00DE2096">
              <w:rPr>
                <w:rStyle w:val="Hyperlink"/>
                <w:noProof/>
              </w:rPr>
              <w:t>Homes for boat dwellers</w:t>
            </w:r>
            <w:r>
              <w:rPr>
                <w:noProof/>
                <w:webHidden/>
              </w:rPr>
              <w:tab/>
            </w:r>
            <w:r>
              <w:rPr>
                <w:noProof/>
                <w:webHidden/>
              </w:rPr>
              <w:fldChar w:fldCharType="begin"/>
            </w:r>
            <w:r>
              <w:rPr>
                <w:noProof/>
                <w:webHidden/>
              </w:rPr>
              <w:instrText xml:space="preserve"> PAGEREF _Toc88135861 \h </w:instrText>
            </w:r>
            <w:r>
              <w:rPr>
                <w:noProof/>
                <w:webHidden/>
              </w:rPr>
            </w:r>
            <w:r>
              <w:rPr>
                <w:noProof/>
                <w:webHidden/>
              </w:rPr>
              <w:fldChar w:fldCharType="separate"/>
            </w:r>
            <w:r>
              <w:rPr>
                <w:noProof/>
                <w:webHidden/>
              </w:rPr>
              <w:t>37</w:t>
            </w:r>
            <w:r>
              <w:rPr>
                <w:noProof/>
                <w:webHidden/>
              </w:rPr>
              <w:fldChar w:fldCharType="end"/>
            </w:r>
          </w:hyperlink>
        </w:p>
        <w:p w14:paraId="3529B98E" w14:textId="77777777" w:rsidR="00345EB1" w:rsidRDefault="00345EB1">
          <w:pPr>
            <w:pStyle w:val="TOC2"/>
            <w:tabs>
              <w:tab w:val="right" w:leader="dot" w:pos="9016"/>
            </w:tabs>
            <w:rPr>
              <w:rFonts w:eastAsiaTheme="minorEastAsia"/>
              <w:noProof/>
              <w:lang w:eastAsia="en-GB"/>
            </w:rPr>
          </w:pPr>
          <w:hyperlink w:anchor="_Toc88135862" w:history="1">
            <w:r w:rsidRPr="00DE2096">
              <w:rPr>
                <w:rStyle w:val="Hyperlink"/>
                <w:noProof/>
              </w:rPr>
              <w:t>Housing Land Supply</w:t>
            </w:r>
            <w:r>
              <w:rPr>
                <w:noProof/>
                <w:webHidden/>
              </w:rPr>
              <w:tab/>
            </w:r>
            <w:r>
              <w:rPr>
                <w:noProof/>
                <w:webHidden/>
              </w:rPr>
              <w:fldChar w:fldCharType="begin"/>
            </w:r>
            <w:r>
              <w:rPr>
                <w:noProof/>
                <w:webHidden/>
              </w:rPr>
              <w:instrText xml:space="preserve"> PAGEREF _Toc88135862 \h </w:instrText>
            </w:r>
            <w:r>
              <w:rPr>
                <w:noProof/>
                <w:webHidden/>
              </w:rPr>
            </w:r>
            <w:r>
              <w:rPr>
                <w:noProof/>
                <w:webHidden/>
              </w:rPr>
              <w:fldChar w:fldCharType="separate"/>
            </w:r>
            <w:r>
              <w:rPr>
                <w:noProof/>
                <w:webHidden/>
              </w:rPr>
              <w:t>37</w:t>
            </w:r>
            <w:r>
              <w:rPr>
                <w:noProof/>
                <w:webHidden/>
              </w:rPr>
              <w:fldChar w:fldCharType="end"/>
            </w:r>
          </w:hyperlink>
        </w:p>
        <w:p w14:paraId="1CC041AC" w14:textId="77777777" w:rsidR="00345EB1" w:rsidRDefault="00345EB1">
          <w:pPr>
            <w:pStyle w:val="TOC2"/>
            <w:tabs>
              <w:tab w:val="right" w:leader="dot" w:pos="9016"/>
            </w:tabs>
            <w:rPr>
              <w:rFonts w:eastAsiaTheme="minorEastAsia"/>
              <w:noProof/>
              <w:lang w:eastAsia="en-GB"/>
            </w:rPr>
          </w:pPr>
          <w:hyperlink w:anchor="_Toc88135863" w:history="1">
            <w:r w:rsidRPr="00DE2096">
              <w:rPr>
                <w:rStyle w:val="Hyperlink"/>
                <w:noProof/>
              </w:rPr>
              <w:t>Health</w:t>
            </w:r>
            <w:r>
              <w:rPr>
                <w:noProof/>
                <w:webHidden/>
              </w:rPr>
              <w:tab/>
            </w:r>
            <w:r>
              <w:rPr>
                <w:noProof/>
                <w:webHidden/>
              </w:rPr>
              <w:fldChar w:fldCharType="begin"/>
            </w:r>
            <w:r>
              <w:rPr>
                <w:noProof/>
                <w:webHidden/>
              </w:rPr>
              <w:instrText xml:space="preserve"> PAGEREF _Toc88135863 \h </w:instrText>
            </w:r>
            <w:r>
              <w:rPr>
                <w:noProof/>
                <w:webHidden/>
              </w:rPr>
            </w:r>
            <w:r>
              <w:rPr>
                <w:noProof/>
                <w:webHidden/>
              </w:rPr>
              <w:fldChar w:fldCharType="separate"/>
            </w:r>
            <w:r>
              <w:rPr>
                <w:noProof/>
                <w:webHidden/>
              </w:rPr>
              <w:t>38</w:t>
            </w:r>
            <w:r>
              <w:rPr>
                <w:noProof/>
                <w:webHidden/>
              </w:rPr>
              <w:fldChar w:fldCharType="end"/>
            </w:r>
          </w:hyperlink>
        </w:p>
        <w:p w14:paraId="16A42918" w14:textId="77777777" w:rsidR="00345EB1" w:rsidRDefault="00345EB1">
          <w:pPr>
            <w:pStyle w:val="TOC2"/>
            <w:tabs>
              <w:tab w:val="right" w:leader="dot" w:pos="9016"/>
            </w:tabs>
            <w:rPr>
              <w:rFonts w:eastAsiaTheme="minorEastAsia"/>
              <w:noProof/>
              <w:lang w:eastAsia="en-GB"/>
            </w:rPr>
          </w:pPr>
          <w:hyperlink w:anchor="_Toc88135864" w:history="1">
            <w:r w:rsidRPr="00DE2096">
              <w:rPr>
                <w:rStyle w:val="Hyperlink"/>
                <w:noProof/>
              </w:rPr>
              <w:t>Wider Health and wellbeing updates</w:t>
            </w:r>
            <w:r>
              <w:rPr>
                <w:noProof/>
                <w:webHidden/>
              </w:rPr>
              <w:tab/>
            </w:r>
            <w:r>
              <w:rPr>
                <w:noProof/>
                <w:webHidden/>
              </w:rPr>
              <w:fldChar w:fldCharType="begin"/>
            </w:r>
            <w:r>
              <w:rPr>
                <w:noProof/>
                <w:webHidden/>
              </w:rPr>
              <w:instrText xml:space="preserve"> PAGEREF _Toc88135864 \h </w:instrText>
            </w:r>
            <w:r>
              <w:rPr>
                <w:noProof/>
                <w:webHidden/>
              </w:rPr>
            </w:r>
            <w:r>
              <w:rPr>
                <w:noProof/>
                <w:webHidden/>
              </w:rPr>
              <w:fldChar w:fldCharType="separate"/>
            </w:r>
            <w:r>
              <w:rPr>
                <w:noProof/>
                <w:webHidden/>
              </w:rPr>
              <w:t>38</w:t>
            </w:r>
            <w:r>
              <w:rPr>
                <w:noProof/>
                <w:webHidden/>
              </w:rPr>
              <w:fldChar w:fldCharType="end"/>
            </w:r>
          </w:hyperlink>
        </w:p>
        <w:p w14:paraId="32C94DBE" w14:textId="77777777" w:rsidR="00345EB1" w:rsidRDefault="00345EB1">
          <w:pPr>
            <w:pStyle w:val="TOC2"/>
            <w:tabs>
              <w:tab w:val="right" w:leader="dot" w:pos="9016"/>
            </w:tabs>
            <w:rPr>
              <w:rFonts w:eastAsiaTheme="minorEastAsia"/>
              <w:noProof/>
              <w:lang w:eastAsia="en-GB"/>
            </w:rPr>
          </w:pPr>
          <w:hyperlink w:anchor="_Toc88135865" w:history="1">
            <w:r w:rsidRPr="00DE2096">
              <w:rPr>
                <w:rStyle w:val="Hyperlink"/>
                <w:noProof/>
              </w:rPr>
              <w:t>Community Benefits</w:t>
            </w:r>
            <w:r>
              <w:rPr>
                <w:noProof/>
                <w:webHidden/>
              </w:rPr>
              <w:tab/>
            </w:r>
            <w:r>
              <w:rPr>
                <w:noProof/>
                <w:webHidden/>
              </w:rPr>
              <w:fldChar w:fldCharType="begin"/>
            </w:r>
            <w:r>
              <w:rPr>
                <w:noProof/>
                <w:webHidden/>
              </w:rPr>
              <w:instrText xml:space="preserve"> PAGEREF _Toc88135865 \h </w:instrText>
            </w:r>
            <w:r>
              <w:rPr>
                <w:noProof/>
                <w:webHidden/>
              </w:rPr>
            </w:r>
            <w:r>
              <w:rPr>
                <w:noProof/>
                <w:webHidden/>
              </w:rPr>
              <w:fldChar w:fldCharType="separate"/>
            </w:r>
            <w:r>
              <w:rPr>
                <w:noProof/>
                <w:webHidden/>
              </w:rPr>
              <w:t>39</w:t>
            </w:r>
            <w:r>
              <w:rPr>
                <w:noProof/>
                <w:webHidden/>
              </w:rPr>
              <w:fldChar w:fldCharType="end"/>
            </w:r>
          </w:hyperlink>
        </w:p>
        <w:p w14:paraId="6FB84B8F" w14:textId="77777777" w:rsidR="00345EB1" w:rsidRDefault="00345EB1">
          <w:pPr>
            <w:pStyle w:val="TOC1"/>
            <w:tabs>
              <w:tab w:val="right" w:leader="dot" w:pos="9016"/>
            </w:tabs>
            <w:rPr>
              <w:rFonts w:eastAsiaTheme="minorEastAsia"/>
              <w:noProof/>
              <w:lang w:eastAsia="en-GB"/>
            </w:rPr>
          </w:pPr>
          <w:hyperlink w:anchor="_Toc88135866" w:history="1">
            <w:r w:rsidRPr="00DE2096">
              <w:rPr>
                <w:rStyle w:val="Hyperlink"/>
                <w:noProof/>
              </w:rPr>
              <w:t>Chapter 5: Oxford’s Natural and Historic Environment</w:t>
            </w:r>
            <w:r>
              <w:rPr>
                <w:noProof/>
                <w:webHidden/>
              </w:rPr>
              <w:tab/>
            </w:r>
            <w:r>
              <w:rPr>
                <w:noProof/>
                <w:webHidden/>
              </w:rPr>
              <w:fldChar w:fldCharType="begin"/>
            </w:r>
            <w:r>
              <w:rPr>
                <w:noProof/>
                <w:webHidden/>
              </w:rPr>
              <w:instrText xml:space="preserve"> PAGEREF _Toc88135866 \h </w:instrText>
            </w:r>
            <w:r>
              <w:rPr>
                <w:noProof/>
                <w:webHidden/>
              </w:rPr>
            </w:r>
            <w:r>
              <w:rPr>
                <w:noProof/>
                <w:webHidden/>
              </w:rPr>
              <w:fldChar w:fldCharType="separate"/>
            </w:r>
            <w:r>
              <w:rPr>
                <w:noProof/>
                <w:webHidden/>
              </w:rPr>
              <w:t>43</w:t>
            </w:r>
            <w:r>
              <w:rPr>
                <w:noProof/>
                <w:webHidden/>
              </w:rPr>
              <w:fldChar w:fldCharType="end"/>
            </w:r>
          </w:hyperlink>
        </w:p>
        <w:p w14:paraId="0C37AF7A" w14:textId="77777777" w:rsidR="00345EB1" w:rsidRDefault="00345EB1">
          <w:pPr>
            <w:pStyle w:val="TOC2"/>
            <w:tabs>
              <w:tab w:val="right" w:leader="dot" w:pos="9016"/>
            </w:tabs>
            <w:rPr>
              <w:rFonts w:eastAsiaTheme="minorEastAsia"/>
              <w:noProof/>
              <w:lang w:eastAsia="en-GB"/>
            </w:rPr>
          </w:pPr>
          <w:hyperlink w:anchor="_Toc88135867" w:history="1">
            <w:r w:rsidRPr="00DE2096">
              <w:rPr>
                <w:rStyle w:val="Hyperlink"/>
                <w:noProof/>
              </w:rPr>
              <w:t>Sustainable development</w:t>
            </w:r>
            <w:r>
              <w:rPr>
                <w:noProof/>
                <w:webHidden/>
              </w:rPr>
              <w:tab/>
            </w:r>
            <w:r>
              <w:rPr>
                <w:noProof/>
                <w:webHidden/>
              </w:rPr>
              <w:fldChar w:fldCharType="begin"/>
            </w:r>
            <w:r>
              <w:rPr>
                <w:noProof/>
                <w:webHidden/>
              </w:rPr>
              <w:instrText xml:space="preserve"> PAGEREF _Toc88135867 \h </w:instrText>
            </w:r>
            <w:r>
              <w:rPr>
                <w:noProof/>
                <w:webHidden/>
              </w:rPr>
            </w:r>
            <w:r>
              <w:rPr>
                <w:noProof/>
                <w:webHidden/>
              </w:rPr>
              <w:fldChar w:fldCharType="separate"/>
            </w:r>
            <w:r>
              <w:rPr>
                <w:noProof/>
                <w:webHidden/>
              </w:rPr>
              <w:t>43</w:t>
            </w:r>
            <w:r>
              <w:rPr>
                <w:noProof/>
                <w:webHidden/>
              </w:rPr>
              <w:fldChar w:fldCharType="end"/>
            </w:r>
          </w:hyperlink>
        </w:p>
        <w:p w14:paraId="4F539EFB" w14:textId="77777777" w:rsidR="00345EB1" w:rsidRDefault="00345EB1">
          <w:pPr>
            <w:pStyle w:val="TOC2"/>
            <w:tabs>
              <w:tab w:val="right" w:leader="dot" w:pos="9016"/>
            </w:tabs>
            <w:rPr>
              <w:rFonts w:eastAsiaTheme="minorEastAsia"/>
              <w:noProof/>
              <w:lang w:eastAsia="en-GB"/>
            </w:rPr>
          </w:pPr>
          <w:hyperlink w:anchor="_Toc88135868" w:history="1">
            <w:r w:rsidRPr="00DE2096">
              <w:rPr>
                <w:rStyle w:val="Hyperlink"/>
                <w:noProof/>
              </w:rPr>
              <w:t>Green and Blue Infrastructure Network</w:t>
            </w:r>
            <w:r>
              <w:rPr>
                <w:noProof/>
                <w:webHidden/>
              </w:rPr>
              <w:tab/>
            </w:r>
            <w:r>
              <w:rPr>
                <w:noProof/>
                <w:webHidden/>
              </w:rPr>
              <w:fldChar w:fldCharType="begin"/>
            </w:r>
            <w:r>
              <w:rPr>
                <w:noProof/>
                <w:webHidden/>
              </w:rPr>
              <w:instrText xml:space="preserve"> PAGEREF _Toc88135868 \h </w:instrText>
            </w:r>
            <w:r>
              <w:rPr>
                <w:noProof/>
                <w:webHidden/>
              </w:rPr>
            </w:r>
            <w:r>
              <w:rPr>
                <w:noProof/>
                <w:webHidden/>
              </w:rPr>
              <w:fldChar w:fldCharType="separate"/>
            </w:r>
            <w:r>
              <w:rPr>
                <w:noProof/>
                <w:webHidden/>
              </w:rPr>
              <w:t>46</w:t>
            </w:r>
            <w:r>
              <w:rPr>
                <w:noProof/>
                <w:webHidden/>
              </w:rPr>
              <w:fldChar w:fldCharType="end"/>
            </w:r>
          </w:hyperlink>
        </w:p>
        <w:p w14:paraId="5606DDD9" w14:textId="77777777" w:rsidR="00345EB1" w:rsidRDefault="00345EB1">
          <w:pPr>
            <w:pStyle w:val="TOC2"/>
            <w:tabs>
              <w:tab w:val="right" w:leader="dot" w:pos="9016"/>
            </w:tabs>
            <w:rPr>
              <w:rFonts w:eastAsiaTheme="minorEastAsia"/>
              <w:noProof/>
              <w:lang w:eastAsia="en-GB"/>
            </w:rPr>
          </w:pPr>
          <w:hyperlink w:anchor="_Toc88135869" w:history="1">
            <w:r w:rsidRPr="00DE2096">
              <w:rPr>
                <w:rStyle w:val="Hyperlink"/>
                <w:noProof/>
              </w:rPr>
              <w:t>Enhancing Oxford’s heritage</w:t>
            </w:r>
            <w:r>
              <w:rPr>
                <w:noProof/>
                <w:webHidden/>
              </w:rPr>
              <w:tab/>
            </w:r>
            <w:r>
              <w:rPr>
                <w:noProof/>
                <w:webHidden/>
              </w:rPr>
              <w:fldChar w:fldCharType="begin"/>
            </w:r>
            <w:r>
              <w:rPr>
                <w:noProof/>
                <w:webHidden/>
              </w:rPr>
              <w:instrText xml:space="preserve"> PAGEREF _Toc88135869 \h </w:instrText>
            </w:r>
            <w:r>
              <w:rPr>
                <w:noProof/>
                <w:webHidden/>
              </w:rPr>
            </w:r>
            <w:r>
              <w:rPr>
                <w:noProof/>
                <w:webHidden/>
              </w:rPr>
              <w:fldChar w:fldCharType="separate"/>
            </w:r>
            <w:r>
              <w:rPr>
                <w:noProof/>
                <w:webHidden/>
              </w:rPr>
              <w:t>49</w:t>
            </w:r>
            <w:r>
              <w:rPr>
                <w:noProof/>
                <w:webHidden/>
              </w:rPr>
              <w:fldChar w:fldCharType="end"/>
            </w:r>
          </w:hyperlink>
        </w:p>
        <w:p w14:paraId="60799F6D" w14:textId="77777777" w:rsidR="00345EB1" w:rsidRDefault="00345EB1">
          <w:pPr>
            <w:pStyle w:val="TOC1"/>
            <w:tabs>
              <w:tab w:val="right" w:leader="dot" w:pos="9016"/>
            </w:tabs>
            <w:rPr>
              <w:rFonts w:eastAsiaTheme="minorEastAsia"/>
              <w:noProof/>
              <w:lang w:eastAsia="en-GB"/>
            </w:rPr>
          </w:pPr>
          <w:hyperlink w:anchor="_Toc88135870" w:history="1">
            <w:r w:rsidRPr="00DE2096">
              <w:rPr>
                <w:rStyle w:val="Hyperlink"/>
                <w:rFonts w:eastAsia="Calibri"/>
                <w:noProof/>
              </w:rPr>
              <w:t>APPENDICES</w:t>
            </w:r>
            <w:r>
              <w:rPr>
                <w:noProof/>
                <w:webHidden/>
              </w:rPr>
              <w:tab/>
            </w:r>
            <w:r>
              <w:rPr>
                <w:noProof/>
                <w:webHidden/>
              </w:rPr>
              <w:fldChar w:fldCharType="begin"/>
            </w:r>
            <w:r>
              <w:rPr>
                <w:noProof/>
                <w:webHidden/>
              </w:rPr>
              <w:instrText xml:space="preserve"> PAGEREF _Toc88135870 \h </w:instrText>
            </w:r>
            <w:r>
              <w:rPr>
                <w:noProof/>
                <w:webHidden/>
              </w:rPr>
            </w:r>
            <w:r>
              <w:rPr>
                <w:noProof/>
                <w:webHidden/>
              </w:rPr>
              <w:fldChar w:fldCharType="separate"/>
            </w:r>
            <w:r>
              <w:rPr>
                <w:noProof/>
                <w:webHidden/>
              </w:rPr>
              <w:t>52</w:t>
            </w:r>
            <w:r>
              <w:rPr>
                <w:noProof/>
                <w:webHidden/>
              </w:rPr>
              <w:fldChar w:fldCharType="end"/>
            </w:r>
          </w:hyperlink>
        </w:p>
        <w:p w14:paraId="34E61162" w14:textId="77777777" w:rsidR="00345EB1" w:rsidRDefault="00345EB1">
          <w:pPr>
            <w:pStyle w:val="TOC2"/>
            <w:tabs>
              <w:tab w:val="right" w:leader="dot" w:pos="9016"/>
            </w:tabs>
            <w:rPr>
              <w:rFonts w:eastAsiaTheme="minorEastAsia"/>
              <w:noProof/>
              <w:lang w:eastAsia="en-GB"/>
            </w:rPr>
          </w:pPr>
          <w:hyperlink w:anchor="_Toc88135871" w:history="1">
            <w:r w:rsidRPr="00DE2096">
              <w:rPr>
                <w:rStyle w:val="Hyperlink"/>
                <w:noProof/>
              </w:rPr>
              <w:t>Appendix A: Oxford’s planning policy documents</w:t>
            </w:r>
            <w:r>
              <w:rPr>
                <w:noProof/>
                <w:webHidden/>
              </w:rPr>
              <w:tab/>
            </w:r>
            <w:r>
              <w:rPr>
                <w:noProof/>
                <w:webHidden/>
              </w:rPr>
              <w:fldChar w:fldCharType="begin"/>
            </w:r>
            <w:r>
              <w:rPr>
                <w:noProof/>
                <w:webHidden/>
              </w:rPr>
              <w:instrText xml:space="preserve"> PAGEREF _Toc88135871 \h </w:instrText>
            </w:r>
            <w:r>
              <w:rPr>
                <w:noProof/>
                <w:webHidden/>
              </w:rPr>
            </w:r>
            <w:r>
              <w:rPr>
                <w:noProof/>
                <w:webHidden/>
              </w:rPr>
              <w:fldChar w:fldCharType="separate"/>
            </w:r>
            <w:r>
              <w:rPr>
                <w:noProof/>
                <w:webHidden/>
              </w:rPr>
              <w:t>52</w:t>
            </w:r>
            <w:r>
              <w:rPr>
                <w:noProof/>
                <w:webHidden/>
              </w:rPr>
              <w:fldChar w:fldCharType="end"/>
            </w:r>
          </w:hyperlink>
        </w:p>
        <w:p w14:paraId="7935AEF2" w14:textId="77777777" w:rsidR="00345EB1" w:rsidRDefault="00345EB1">
          <w:pPr>
            <w:pStyle w:val="TOC2"/>
            <w:tabs>
              <w:tab w:val="right" w:leader="dot" w:pos="9016"/>
            </w:tabs>
            <w:rPr>
              <w:rFonts w:eastAsiaTheme="minorEastAsia"/>
              <w:noProof/>
              <w:lang w:eastAsia="en-GB"/>
            </w:rPr>
          </w:pPr>
          <w:hyperlink w:anchor="_Toc88135872" w:history="1">
            <w:r w:rsidRPr="00DE2096">
              <w:rPr>
                <w:rStyle w:val="Hyperlink"/>
                <w:noProof/>
              </w:rPr>
              <w:t>Appendix B: How the AMR complies with statutory requirements</w:t>
            </w:r>
            <w:r>
              <w:rPr>
                <w:noProof/>
                <w:webHidden/>
              </w:rPr>
              <w:tab/>
            </w:r>
            <w:r>
              <w:rPr>
                <w:noProof/>
                <w:webHidden/>
              </w:rPr>
              <w:fldChar w:fldCharType="begin"/>
            </w:r>
            <w:r>
              <w:rPr>
                <w:noProof/>
                <w:webHidden/>
              </w:rPr>
              <w:instrText xml:space="preserve"> PAGEREF _Toc88135872 \h </w:instrText>
            </w:r>
            <w:r>
              <w:rPr>
                <w:noProof/>
                <w:webHidden/>
              </w:rPr>
            </w:r>
            <w:r>
              <w:rPr>
                <w:noProof/>
                <w:webHidden/>
              </w:rPr>
              <w:fldChar w:fldCharType="separate"/>
            </w:r>
            <w:r>
              <w:rPr>
                <w:noProof/>
                <w:webHidden/>
              </w:rPr>
              <w:t>53</w:t>
            </w:r>
            <w:r>
              <w:rPr>
                <w:noProof/>
                <w:webHidden/>
              </w:rPr>
              <w:fldChar w:fldCharType="end"/>
            </w:r>
          </w:hyperlink>
        </w:p>
        <w:p w14:paraId="1B856BA8" w14:textId="77777777" w:rsidR="00345EB1" w:rsidRDefault="00345EB1">
          <w:pPr>
            <w:pStyle w:val="TOC1"/>
            <w:tabs>
              <w:tab w:val="right" w:leader="dot" w:pos="9016"/>
            </w:tabs>
            <w:rPr>
              <w:rFonts w:eastAsiaTheme="minorEastAsia"/>
              <w:noProof/>
              <w:lang w:eastAsia="en-GB"/>
            </w:rPr>
          </w:pPr>
          <w:hyperlink w:anchor="_Toc88135873" w:history="1">
            <w:r w:rsidRPr="00DE2096">
              <w:rPr>
                <w:rStyle w:val="Hyperlink"/>
                <w:rFonts w:eastAsia="Calibri"/>
                <w:noProof/>
              </w:rPr>
              <w:t>Glossary</w:t>
            </w:r>
            <w:r>
              <w:rPr>
                <w:noProof/>
                <w:webHidden/>
              </w:rPr>
              <w:tab/>
            </w:r>
            <w:r>
              <w:rPr>
                <w:noProof/>
                <w:webHidden/>
              </w:rPr>
              <w:fldChar w:fldCharType="begin"/>
            </w:r>
            <w:r>
              <w:rPr>
                <w:noProof/>
                <w:webHidden/>
              </w:rPr>
              <w:instrText xml:space="preserve"> PAGEREF _Toc88135873 \h </w:instrText>
            </w:r>
            <w:r>
              <w:rPr>
                <w:noProof/>
                <w:webHidden/>
              </w:rPr>
            </w:r>
            <w:r>
              <w:rPr>
                <w:noProof/>
                <w:webHidden/>
              </w:rPr>
              <w:fldChar w:fldCharType="separate"/>
            </w:r>
            <w:r>
              <w:rPr>
                <w:noProof/>
                <w:webHidden/>
              </w:rPr>
              <w:t>55</w:t>
            </w:r>
            <w:r>
              <w:rPr>
                <w:noProof/>
                <w:webHidden/>
              </w:rPr>
              <w:fldChar w:fldCharType="end"/>
            </w:r>
          </w:hyperlink>
        </w:p>
        <w:p w14:paraId="5D787995" w14:textId="4F5AAAD7" w:rsidR="00360EAE" w:rsidRDefault="00360EAE" w:rsidP="00300972">
          <w:pPr>
            <w:spacing w:line="360" w:lineRule="auto"/>
          </w:pPr>
          <w:r>
            <w:rPr>
              <w:b/>
              <w:bCs/>
              <w:noProof/>
            </w:rPr>
            <w:fldChar w:fldCharType="end"/>
          </w:r>
        </w:p>
      </w:sdtContent>
    </w:sdt>
    <w:p w14:paraId="177B9EBD" w14:textId="77777777" w:rsidR="00EB27AB" w:rsidRDefault="00EB27AB" w:rsidP="00EB27AB"/>
    <w:p w14:paraId="7C856670" w14:textId="77777777" w:rsidR="00EB27AB" w:rsidRDefault="00EB27AB" w:rsidP="00EB27AB"/>
    <w:p w14:paraId="24B7D638" w14:textId="77777777" w:rsidR="00EB27AB" w:rsidRDefault="00EB27AB" w:rsidP="00EB27AB"/>
    <w:p w14:paraId="3BA1DBD0" w14:textId="77777777" w:rsidR="00EB27AB" w:rsidRDefault="00EB27AB" w:rsidP="00EB27AB"/>
    <w:p w14:paraId="629D5DA2" w14:textId="77777777" w:rsidR="00693FFC" w:rsidRDefault="00693FFC" w:rsidP="00EB27AB"/>
    <w:p w14:paraId="0C6DFCD6" w14:textId="77777777" w:rsidR="00693FFC" w:rsidRDefault="00693FFC" w:rsidP="00EB27AB"/>
    <w:p w14:paraId="7289423B" w14:textId="77777777" w:rsidR="00693FFC" w:rsidRDefault="00693FFC" w:rsidP="00EB27AB"/>
    <w:p w14:paraId="16BEBCE2" w14:textId="77777777" w:rsidR="00693FFC" w:rsidRDefault="00693FFC" w:rsidP="00EB27AB"/>
    <w:p w14:paraId="2E60EFDC" w14:textId="77777777" w:rsidR="00693FFC" w:rsidRDefault="00693FFC" w:rsidP="00EB27AB"/>
    <w:p w14:paraId="3A709003" w14:textId="77777777" w:rsidR="00EB27AB" w:rsidRDefault="00EB27AB" w:rsidP="00EB27AB"/>
    <w:p w14:paraId="0B5188ED" w14:textId="77777777" w:rsidR="00EB27AB" w:rsidRDefault="00EB27AB" w:rsidP="00EB27AB"/>
    <w:p w14:paraId="51FEAAA9" w14:textId="77777777" w:rsidR="00EB27AB" w:rsidRDefault="00EB27AB" w:rsidP="00EB27AB"/>
    <w:p w14:paraId="31E608EF" w14:textId="77777777" w:rsidR="00EB27AB" w:rsidRDefault="00EB27AB" w:rsidP="00EB27AB"/>
    <w:p w14:paraId="1E1B58DD" w14:textId="77777777" w:rsidR="00AE463D" w:rsidRDefault="00AE463D" w:rsidP="00EB27AB"/>
    <w:p w14:paraId="1A2CD381" w14:textId="77777777" w:rsidR="00AE463D" w:rsidRDefault="00AE463D" w:rsidP="00EB27AB"/>
    <w:p w14:paraId="44BABEB3" w14:textId="77777777" w:rsidR="00AE463D" w:rsidRDefault="00AE463D" w:rsidP="00EB27AB"/>
    <w:p w14:paraId="4B32B3C4" w14:textId="77777777" w:rsidR="00AE463D" w:rsidRDefault="00AE463D" w:rsidP="00EB27AB"/>
    <w:p w14:paraId="7A9C214B" w14:textId="77777777" w:rsidR="00AE463D" w:rsidRDefault="00AE463D" w:rsidP="00EB27AB"/>
    <w:p w14:paraId="52B631FB" w14:textId="77777777" w:rsidR="00AE463D" w:rsidRDefault="00AE463D" w:rsidP="00EB27AB"/>
    <w:p w14:paraId="60F1961C" w14:textId="77777777" w:rsidR="00EB27AB" w:rsidRDefault="00EB27AB" w:rsidP="00EB27AB"/>
    <w:p w14:paraId="0713CFE6" w14:textId="77777777" w:rsidR="00AE463D" w:rsidRDefault="00AE463D" w:rsidP="00EB27AB"/>
    <w:p w14:paraId="2F188F7B" w14:textId="77777777" w:rsidR="00EB27AB" w:rsidRDefault="00EB27AB" w:rsidP="00EB27AB"/>
    <w:p w14:paraId="4E95FFB9" w14:textId="77777777" w:rsidR="009725AC" w:rsidRDefault="009725AC">
      <w:pPr>
        <w:rPr>
          <w:rFonts w:asciiTheme="majorHAnsi" w:eastAsia="Calibri" w:hAnsiTheme="majorHAnsi" w:cstheme="majorBidi"/>
          <w:color w:val="2E74B5" w:themeColor="accent1" w:themeShade="BF"/>
          <w:sz w:val="32"/>
          <w:szCs w:val="32"/>
        </w:rPr>
      </w:pPr>
      <w:r>
        <w:rPr>
          <w:rFonts w:eastAsia="Calibri"/>
        </w:rPr>
        <w:br w:type="page"/>
      </w:r>
    </w:p>
    <w:p w14:paraId="0BDA4DA3" w14:textId="77777777" w:rsidR="00D16C1F" w:rsidRDefault="00FB6398" w:rsidP="00D16C1F">
      <w:pPr>
        <w:pStyle w:val="Heading1"/>
        <w:rPr>
          <w:rFonts w:eastAsia="Calibri"/>
          <w:sz w:val="28"/>
        </w:rPr>
      </w:pPr>
      <w:bookmarkStart w:id="13" w:name="_Toc88135833"/>
      <w:r>
        <w:rPr>
          <w:rFonts w:eastAsia="Calibri"/>
        </w:rPr>
        <w:lastRenderedPageBreak/>
        <w:t xml:space="preserve">Chapter 1: </w:t>
      </w:r>
      <w:r w:rsidR="008F0ADA" w:rsidRPr="0058440A">
        <w:rPr>
          <w:rFonts w:eastAsia="Calibri"/>
        </w:rPr>
        <w:t>Introduction</w:t>
      </w:r>
      <w:bookmarkEnd w:id="0"/>
      <w:bookmarkEnd w:id="13"/>
      <w:r w:rsidR="008F0ADA" w:rsidRPr="0058440A">
        <w:rPr>
          <w:rFonts w:eastAsia="Calibri"/>
          <w:sz w:val="28"/>
        </w:rPr>
        <w:t xml:space="preserve"> </w:t>
      </w:r>
      <w:bookmarkStart w:id="14" w:name="_GoBack"/>
      <w:bookmarkEnd w:id="14"/>
    </w:p>
    <w:p w14:paraId="7BE19EB3" w14:textId="62027A80" w:rsidR="00D16C1F" w:rsidRPr="00D16C1F" w:rsidRDefault="7FFF270B" w:rsidP="00D16C1F">
      <w:pPr>
        <w:numPr>
          <w:ilvl w:val="1"/>
          <w:numId w:val="5"/>
        </w:numPr>
        <w:spacing w:before="240" w:after="200" w:line="276" w:lineRule="auto"/>
        <w:ind w:left="567" w:hanging="567"/>
        <w:jc w:val="both"/>
        <w:rPr>
          <w:rFonts w:eastAsia="Calibri" w:cstheme="minorHAnsi"/>
          <w:color w:val="000000"/>
        </w:rPr>
      </w:pPr>
      <w:r w:rsidRPr="00D16C1F">
        <w:rPr>
          <w:rFonts w:eastAsia="Calibri" w:cstheme="minorHAnsi"/>
          <w:color w:val="000000"/>
        </w:rPr>
        <w:t>This is Oxford’s sixteen</w:t>
      </w:r>
      <w:r w:rsidR="6CC6184D" w:rsidRPr="00D16C1F">
        <w:rPr>
          <w:rFonts w:eastAsia="Calibri" w:cstheme="minorHAnsi"/>
          <w:color w:val="000000"/>
        </w:rPr>
        <w:t>th</w:t>
      </w:r>
      <w:r w:rsidRPr="00D16C1F">
        <w:rPr>
          <w:rFonts w:eastAsia="Calibri" w:cstheme="minorHAnsi"/>
          <w:color w:val="000000"/>
        </w:rPr>
        <w:t xml:space="preserve"> Authority Monitoring Report</w:t>
      </w:r>
      <w:r w:rsidR="00667647" w:rsidRPr="00B31179">
        <w:rPr>
          <w:rFonts w:eastAsia="Calibri" w:cstheme="minorHAnsi"/>
          <w:color w:val="000000"/>
          <w:vertAlign w:val="superscript"/>
        </w:rPr>
        <w:footnoteReference w:id="1"/>
      </w:r>
      <w:r w:rsidRPr="00D16C1F">
        <w:rPr>
          <w:rFonts w:eastAsia="Calibri" w:cstheme="minorHAnsi"/>
          <w:color w:val="000000"/>
        </w:rPr>
        <w:t xml:space="preserve"> </w:t>
      </w:r>
      <w:r w:rsidR="52665ABF" w:rsidRPr="00D16C1F">
        <w:rPr>
          <w:rFonts w:eastAsia="Calibri" w:cstheme="minorHAnsi"/>
          <w:color w:val="000000"/>
        </w:rPr>
        <w:t>(</w:t>
      </w:r>
      <w:r w:rsidRPr="00D16C1F">
        <w:rPr>
          <w:rFonts w:eastAsia="Calibri" w:cstheme="minorHAnsi"/>
          <w:color w:val="000000"/>
        </w:rPr>
        <w:t>AMR</w:t>
      </w:r>
      <w:r w:rsidR="3FB3DE90" w:rsidRPr="00D16C1F">
        <w:rPr>
          <w:rFonts w:eastAsia="Calibri" w:cstheme="minorHAnsi"/>
          <w:color w:val="000000"/>
        </w:rPr>
        <w:t>)</w:t>
      </w:r>
      <w:r w:rsidR="134EBE41" w:rsidRPr="00D16C1F">
        <w:rPr>
          <w:rFonts w:eastAsia="Calibri" w:cstheme="minorHAnsi"/>
          <w:color w:val="000000"/>
        </w:rPr>
        <w:t xml:space="preserve">. </w:t>
      </w:r>
      <w:r w:rsidRPr="00D16C1F">
        <w:rPr>
          <w:rFonts w:eastAsia="Calibri" w:cstheme="minorHAnsi"/>
          <w:color w:val="000000"/>
        </w:rPr>
        <w:t xml:space="preserve"> </w:t>
      </w:r>
      <w:r w:rsidR="1AF8061A" w:rsidRPr="00D16C1F">
        <w:rPr>
          <w:rFonts w:eastAsia="Calibri" w:cstheme="minorHAnsi"/>
          <w:color w:val="000000"/>
        </w:rPr>
        <w:t xml:space="preserve"> It monitors the implementation and effectiveness of policies in the </w:t>
      </w:r>
      <w:r w:rsidRPr="00D16C1F">
        <w:rPr>
          <w:rFonts w:eastAsia="Calibri" w:cstheme="minorHAnsi"/>
          <w:color w:val="000000"/>
        </w:rPr>
        <w:t>Oxford Local Plan</w:t>
      </w:r>
      <w:r w:rsidR="6CC6184D" w:rsidRPr="00D16C1F">
        <w:rPr>
          <w:rFonts w:eastAsia="Calibri" w:cstheme="minorHAnsi"/>
          <w:color w:val="000000"/>
        </w:rPr>
        <w:t xml:space="preserve"> (OLP</w:t>
      </w:r>
      <w:r w:rsidR="6B3E72F4" w:rsidRPr="00D16C1F">
        <w:rPr>
          <w:rFonts w:eastAsia="Calibri" w:cstheme="minorHAnsi"/>
          <w:color w:val="000000"/>
        </w:rPr>
        <w:t>) 2036</w:t>
      </w:r>
      <w:r w:rsidRPr="00D16C1F">
        <w:rPr>
          <w:rFonts w:eastAsia="Calibri" w:cstheme="minorHAnsi"/>
          <w:color w:val="000000"/>
        </w:rPr>
        <w:t xml:space="preserve"> adopted in June 2020.  </w:t>
      </w:r>
      <w:r w:rsidR="6CC6184D" w:rsidRPr="00D16C1F">
        <w:rPr>
          <w:rFonts w:eastAsia="Calibri" w:cstheme="minorHAnsi"/>
          <w:color w:val="000000"/>
        </w:rPr>
        <w:t>The hearings for the Plan were held in December 2019 and the Inspector</w:t>
      </w:r>
      <w:r w:rsidR="2F4CB220" w:rsidRPr="00D16C1F">
        <w:rPr>
          <w:rFonts w:eastAsia="Calibri" w:cstheme="minorHAnsi"/>
          <w:color w:val="000000"/>
        </w:rPr>
        <w:t xml:space="preserve">’s </w:t>
      </w:r>
      <w:r w:rsidR="6CC6184D" w:rsidRPr="00D16C1F">
        <w:rPr>
          <w:rFonts w:eastAsia="Calibri" w:cstheme="minorHAnsi"/>
          <w:color w:val="000000"/>
        </w:rPr>
        <w:t xml:space="preserve">report </w:t>
      </w:r>
      <w:r w:rsidR="2F4CB220" w:rsidRPr="00D16C1F">
        <w:rPr>
          <w:rFonts w:eastAsia="Calibri" w:cstheme="minorHAnsi"/>
          <w:color w:val="000000"/>
        </w:rPr>
        <w:t xml:space="preserve">was </w:t>
      </w:r>
      <w:r w:rsidR="6B3E72F4" w:rsidRPr="00D16C1F">
        <w:rPr>
          <w:rFonts w:eastAsia="Calibri" w:cstheme="minorHAnsi"/>
          <w:color w:val="000000"/>
        </w:rPr>
        <w:t>published May</w:t>
      </w:r>
      <w:r w:rsidR="6CC6184D" w:rsidRPr="00D16C1F">
        <w:rPr>
          <w:rFonts w:eastAsia="Calibri" w:cstheme="minorHAnsi"/>
          <w:color w:val="000000"/>
        </w:rPr>
        <w:t xml:space="preserve"> 15 2020 following an interim letter published at the end of the hearings.  As such, it was clear that weight could be given to the policies in the OLP prior to it</w:t>
      </w:r>
      <w:r w:rsidR="00D16C1F">
        <w:rPr>
          <w:rFonts w:eastAsia="Calibri" w:cstheme="minorHAnsi"/>
          <w:color w:val="000000"/>
        </w:rPr>
        <w:t>s formal adoption in June 2020.</w:t>
      </w:r>
      <w:r w:rsidR="6CC6184D" w:rsidRPr="00D16C1F">
        <w:rPr>
          <w:rFonts w:eastAsia="Calibri" w:cstheme="minorHAnsi"/>
          <w:color w:val="000000"/>
        </w:rPr>
        <w:t xml:space="preserve"> </w:t>
      </w:r>
      <w:r w:rsidR="2F4CB220" w:rsidRPr="00D16C1F">
        <w:rPr>
          <w:rFonts w:eastAsia="Calibri" w:cstheme="minorHAnsi"/>
          <w:color w:val="000000"/>
        </w:rPr>
        <w:t>Hence, t</w:t>
      </w:r>
      <w:r w:rsidR="6CC6184D" w:rsidRPr="00D16C1F">
        <w:rPr>
          <w:rFonts w:eastAsia="Calibri" w:cstheme="minorHAnsi"/>
          <w:color w:val="000000"/>
        </w:rPr>
        <w:t>his AMR monitors policies in the Oxford Local Plan 2036 only</w:t>
      </w:r>
      <w:r w:rsidR="43CFD0DA" w:rsidRPr="00D16C1F">
        <w:rPr>
          <w:rFonts w:eastAsia="Calibri" w:cstheme="minorHAnsi"/>
          <w:color w:val="000000"/>
        </w:rPr>
        <w:t>,</w:t>
      </w:r>
      <w:r w:rsidR="6CC6184D" w:rsidRPr="00D16C1F">
        <w:rPr>
          <w:rFonts w:eastAsia="Calibri" w:cstheme="minorHAnsi"/>
          <w:color w:val="000000"/>
        </w:rPr>
        <w:t xml:space="preserve"> and does not reference any previous policies in the Core Strategy</w:t>
      </w:r>
      <w:r w:rsidR="134EBE41" w:rsidRPr="00D16C1F">
        <w:rPr>
          <w:rFonts w:eastAsia="Calibri" w:cstheme="minorHAnsi"/>
          <w:color w:val="000000"/>
        </w:rPr>
        <w:t xml:space="preserve"> 2026 </w:t>
      </w:r>
      <w:r w:rsidR="6CC6184D" w:rsidRPr="00D16C1F">
        <w:rPr>
          <w:rFonts w:eastAsia="Calibri" w:cstheme="minorHAnsi"/>
          <w:color w:val="000000"/>
        </w:rPr>
        <w:t>or the Site</w:t>
      </w:r>
      <w:r w:rsidR="35C7BA30" w:rsidRPr="00D16C1F">
        <w:rPr>
          <w:rFonts w:eastAsia="Calibri" w:cstheme="minorHAnsi"/>
          <w:color w:val="000000"/>
        </w:rPr>
        <w:t>s</w:t>
      </w:r>
      <w:r w:rsidR="6CC6184D" w:rsidRPr="00D16C1F">
        <w:rPr>
          <w:rFonts w:eastAsia="Calibri" w:cstheme="minorHAnsi"/>
          <w:color w:val="000000"/>
        </w:rPr>
        <w:t xml:space="preserve"> and Housing Plan</w:t>
      </w:r>
      <w:r w:rsidR="134EBE41" w:rsidRPr="00D16C1F">
        <w:rPr>
          <w:rFonts w:eastAsia="Calibri" w:cstheme="minorHAnsi"/>
          <w:color w:val="000000"/>
        </w:rPr>
        <w:t xml:space="preserve"> 2011-2026</w:t>
      </w:r>
      <w:r w:rsidR="6CC6184D" w:rsidRPr="00D16C1F">
        <w:rPr>
          <w:rFonts w:eastAsia="Calibri" w:cstheme="minorHAnsi"/>
          <w:color w:val="000000"/>
        </w:rPr>
        <w:t>.</w:t>
      </w:r>
    </w:p>
    <w:p w14:paraId="5ABB99B7" w14:textId="053BF69F" w:rsidR="00DE52E5" w:rsidRPr="00D16C1F" w:rsidRDefault="008F0ADA" w:rsidP="00DE52E5">
      <w:pPr>
        <w:numPr>
          <w:ilvl w:val="1"/>
          <w:numId w:val="5"/>
        </w:numPr>
        <w:spacing w:before="240" w:after="200" w:line="276" w:lineRule="auto"/>
        <w:ind w:left="567" w:hanging="567"/>
        <w:jc w:val="both"/>
        <w:rPr>
          <w:rFonts w:eastAsia="Calibri" w:cstheme="minorHAnsi"/>
          <w:color w:val="000000"/>
        </w:rPr>
      </w:pPr>
      <w:r w:rsidRPr="00D16C1F">
        <w:rPr>
          <w:rFonts w:eastAsia="Calibri" w:cstheme="minorHAnsi"/>
          <w:color w:val="000000"/>
        </w:rPr>
        <w:t>Regularly reviewing the effectiveness of Oxford’s planning policies (Appendix A) helps to ensure that progress is being made towards achieving</w:t>
      </w:r>
      <w:r w:rsidR="00842DC5" w:rsidRPr="00D16C1F">
        <w:rPr>
          <w:rFonts w:eastAsia="Calibri" w:cstheme="minorHAnsi"/>
          <w:color w:val="000000"/>
        </w:rPr>
        <w:t xml:space="preserve"> the Plan’s</w:t>
      </w:r>
      <w:r w:rsidRPr="00D16C1F">
        <w:rPr>
          <w:rFonts w:eastAsia="Calibri" w:cstheme="minorHAnsi"/>
          <w:color w:val="000000"/>
        </w:rPr>
        <w:t xml:space="preserve"> objectives. Monitoring also helps to identify when policies may need adjusting or replacing if they are not working as intended or if wider social, economic or environmental conditions change.</w:t>
      </w:r>
      <w:r w:rsidR="00E43E9F" w:rsidRPr="00D16C1F">
        <w:rPr>
          <w:rFonts w:eastAsia="Calibri" w:cstheme="minorHAnsi"/>
          <w:color w:val="000000"/>
        </w:rPr>
        <w:t xml:space="preserve">  This information is important in shaping our approach to reviewing the Plan and provides an important evidence base for the Oxford Local Plan 2040.</w:t>
      </w:r>
      <w:r w:rsidRPr="00D16C1F">
        <w:rPr>
          <w:rFonts w:eastAsia="Calibri" w:cstheme="minorHAnsi"/>
          <w:color w:val="000000"/>
        </w:rPr>
        <w:t xml:space="preserve"> The City Council also has a legal duty to monitor certain aspects of pl</w:t>
      </w:r>
      <w:r w:rsidR="00DE52E5" w:rsidRPr="00D16C1F">
        <w:rPr>
          <w:rFonts w:eastAsia="Calibri" w:cstheme="minorHAnsi"/>
          <w:color w:val="000000"/>
        </w:rPr>
        <w:t>anning performance (Appendix B).</w:t>
      </w:r>
    </w:p>
    <w:p w14:paraId="1221C308" w14:textId="0A845ABA" w:rsidR="00305F3B" w:rsidRPr="00D16C1F" w:rsidRDefault="00F03E2F" w:rsidP="00305F3B">
      <w:pPr>
        <w:numPr>
          <w:ilvl w:val="1"/>
          <w:numId w:val="5"/>
        </w:numPr>
        <w:spacing w:before="240" w:after="200" w:line="276" w:lineRule="auto"/>
        <w:ind w:left="567" w:hanging="567"/>
        <w:jc w:val="both"/>
        <w:rPr>
          <w:rFonts w:eastAsia="Calibri" w:cstheme="minorHAnsi"/>
          <w:color w:val="000000"/>
        </w:rPr>
      </w:pPr>
      <w:r w:rsidRPr="00D16C1F">
        <w:rPr>
          <w:rFonts w:eastAsia="Calibri" w:cstheme="minorHAnsi"/>
          <w:color w:val="000000"/>
        </w:rPr>
        <w:t>The AMR no</w:t>
      </w:r>
      <w:r w:rsidR="008A303E" w:rsidRPr="00D16C1F">
        <w:rPr>
          <w:rFonts w:eastAsia="Calibri" w:cstheme="minorHAnsi"/>
          <w:color w:val="000000"/>
        </w:rPr>
        <w:t xml:space="preserve"> </w:t>
      </w:r>
      <w:r w:rsidRPr="00D16C1F">
        <w:rPr>
          <w:rFonts w:eastAsia="Calibri" w:cstheme="minorHAnsi"/>
          <w:color w:val="000000"/>
        </w:rPr>
        <w:t xml:space="preserve">longer reports on S106 and CIL income this can be found in the Infrastructure Funding </w:t>
      </w:r>
      <w:r w:rsidR="00AE463D" w:rsidRPr="00D16C1F">
        <w:rPr>
          <w:rFonts w:eastAsia="Calibri" w:cstheme="minorHAnsi"/>
          <w:color w:val="000000"/>
        </w:rPr>
        <w:t xml:space="preserve">Statement published in December </w:t>
      </w:r>
      <w:r w:rsidRPr="00D16C1F">
        <w:rPr>
          <w:rFonts w:eastAsia="Calibri" w:cstheme="minorHAnsi"/>
          <w:color w:val="000000"/>
        </w:rPr>
        <w:t>2021</w:t>
      </w:r>
      <w:r w:rsidR="00AE463D" w:rsidRPr="00D16C1F">
        <w:rPr>
          <w:rFonts w:eastAsia="Calibri" w:cstheme="minorHAnsi"/>
          <w:color w:val="000000"/>
          <w:vertAlign w:val="superscript"/>
        </w:rPr>
        <w:footnoteReference w:id="2"/>
      </w:r>
      <w:r w:rsidR="00EF2CB2" w:rsidRPr="00D16C1F">
        <w:rPr>
          <w:rFonts w:eastAsia="Calibri" w:cstheme="minorHAnsi"/>
          <w:color w:val="000000"/>
        </w:rPr>
        <w:t>.</w:t>
      </w:r>
    </w:p>
    <w:p w14:paraId="281C7F50" w14:textId="27E6B930" w:rsidR="008F0ADA" w:rsidRPr="00DE52E5" w:rsidRDefault="00305F3B" w:rsidP="00DE52E5">
      <w:pPr>
        <w:pStyle w:val="Heading2"/>
        <w:rPr>
          <w:rFonts w:eastAsia="Calibri"/>
        </w:rPr>
      </w:pPr>
      <w:bookmarkStart w:id="15" w:name="_Toc88135834"/>
      <w:r>
        <w:rPr>
          <w:rFonts w:eastAsia="Calibri"/>
        </w:rPr>
        <w:t>Monitoring Framework</w:t>
      </w:r>
      <w:bookmarkEnd w:id="15"/>
    </w:p>
    <w:p w14:paraId="66E1D0CA" w14:textId="400ADB63" w:rsidR="00BA5A5A" w:rsidRPr="00D16C1F" w:rsidRDefault="00305F3B" w:rsidP="00D16C1F">
      <w:pPr>
        <w:numPr>
          <w:ilvl w:val="1"/>
          <w:numId w:val="5"/>
        </w:numPr>
        <w:spacing w:before="240" w:after="200" w:line="276" w:lineRule="auto"/>
        <w:ind w:left="567" w:hanging="567"/>
        <w:jc w:val="both"/>
        <w:rPr>
          <w:rFonts w:eastAsia="Calibri" w:cstheme="minorHAnsi"/>
          <w:color w:val="000000"/>
        </w:rPr>
      </w:pPr>
      <w:r w:rsidRPr="00D16C1F">
        <w:rPr>
          <w:rFonts w:eastAsia="Calibri" w:cstheme="minorHAnsi"/>
          <w:color w:val="000000"/>
        </w:rPr>
        <w:t xml:space="preserve">A set </w:t>
      </w:r>
      <w:r w:rsidR="000D3873" w:rsidRPr="00D16C1F">
        <w:rPr>
          <w:rFonts w:eastAsia="Calibri" w:cstheme="minorHAnsi"/>
          <w:color w:val="000000"/>
        </w:rPr>
        <w:t xml:space="preserve">of indicators has been developed to provide a framework for monitoring </w:t>
      </w:r>
      <w:r w:rsidR="00BA5A5A" w:rsidRPr="00D16C1F">
        <w:rPr>
          <w:rFonts w:eastAsia="Calibri" w:cstheme="minorHAnsi"/>
          <w:color w:val="000000"/>
        </w:rPr>
        <w:t xml:space="preserve">the effectiveness of </w:t>
      </w:r>
      <w:r w:rsidR="009A1875" w:rsidRPr="00D16C1F">
        <w:rPr>
          <w:rFonts w:eastAsia="Calibri" w:cstheme="minorHAnsi"/>
          <w:color w:val="000000"/>
        </w:rPr>
        <w:t>polices in the Plan.</w:t>
      </w:r>
      <w:r w:rsidR="000D3873" w:rsidRPr="00D16C1F">
        <w:rPr>
          <w:rFonts w:eastAsia="Calibri" w:cstheme="minorHAnsi"/>
          <w:color w:val="000000"/>
        </w:rPr>
        <w:t xml:space="preserve"> Local authorities are only required to report on specific indicators and as such this AMR has reported on policies which are key in providing a better understanding of how our city functions and is responding to development.  The indicators we are reporting on are those which show significant facts or trends or are key to delivering the Council’s corporates priorities, namely </w:t>
      </w:r>
      <w:r w:rsidR="003149D1" w:rsidRPr="00D16C1F">
        <w:rPr>
          <w:rFonts w:eastAsia="Calibri" w:cstheme="minorHAnsi"/>
          <w:color w:val="000000"/>
        </w:rPr>
        <w:t>fostering an inclusive economy, delivering more affordable housing, support flourishing communities and pursuing a zero carbon Oxford.</w:t>
      </w:r>
    </w:p>
    <w:p w14:paraId="110D2EAA" w14:textId="7542566B" w:rsidR="00E8560D" w:rsidRPr="00DE52E5" w:rsidRDefault="00E8560D" w:rsidP="00DE52E5">
      <w:pPr>
        <w:pStyle w:val="Heading2"/>
      </w:pPr>
      <w:bookmarkStart w:id="16" w:name="_Toc88135835"/>
      <w:r>
        <w:t>Structure of the Monitoring Report</w:t>
      </w:r>
      <w:bookmarkEnd w:id="16"/>
    </w:p>
    <w:p w14:paraId="41C3DBF8" w14:textId="00CC752C" w:rsidR="00E036C1" w:rsidRPr="00D16C1F" w:rsidRDefault="42395422" w:rsidP="00D16C1F">
      <w:pPr>
        <w:numPr>
          <w:ilvl w:val="1"/>
          <w:numId w:val="5"/>
        </w:numPr>
        <w:spacing w:before="240" w:after="200" w:line="276" w:lineRule="auto"/>
        <w:ind w:left="567" w:hanging="567"/>
        <w:jc w:val="both"/>
        <w:rPr>
          <w:rFonts w:eastAsia="Calibri" w:cstheme="minorHAnsi"/>
          <w:color w:val="000000"/>
        </w:rPr>
      </w:pPr>
      <w:r w:rsidRPr="00D16C1F">
        <w:rPr>
          <w:rFonts w:eastAsia="Calibri" w:cstheme="minorHAnsi"/>
          <w:color w:val="000000"/>
        </w:rPr>
        <w:t xml:space="preserve">The AMR </w:t>
      </w:r>
      <w:r w:rsidR="2D8F966E" w:rsidRPr="00D16C1F">
        <w:rPr>
          <w:rFonts w:eastAsia="Calibri" w:cstheme="minorHAnsi"/>
          <w:color w:val="000000"/>
        </w:rPr>
        <w:t>starts by providing a status report on the production</w:t>
      </w:r>
      <w:r w:rsidR="0A8B53DA" w:rsidRPr="00D16C1F">
        <w:rPr>
          <w:rFonts w:eastAsia="Calibri" w:cstheme="minorHAnsi"/>
          <w:color w:val="000000"/>
        </w:rPr>
        <w:t xml:space="preserve"> of development plan documents, </w:t>
      </w:r>
      <w:r w:rsidR="16757D77" w:rsidRPr="00D16C1F">
        <w:rPr>
          <w:rFonts w:eastAsia="Calibri" w:cstheme="minorHAnsi"/>
          <w:color w:val="000000"/>
        </w:rPr>
        <w:t>followed by the monitoring of the policies</w:t>
      </w:r>
      <w:r w:rsidR="45BCDCF3" w:rsidRPr="00D16C1F">
        <w:rPr>
          <w:rFonts w:eastAsia="Calibri" w:cstheme="minorHAnsi"/>
          <w:color w:val="000000"/>
        </w:rPr>
        <w:t>.</w:t>
      </w:r>
      <w:r w:rsidR="0A8B53DA" w:rsidRPr="00D16C1F">
        <w:rPr>
          <w:rFonts w:eastAsia="Calibri" w:cstheme="minorHAnsi"/>
          <w:color w:val="000000"/>
        </w:rPr>
        <w:t xml:space="preserve"> </w:t>
      </w:r>
      <w:r w:rsidR="45BCDCF3" w:rsidRPr="00D16C1F">
        <w:rPr>
          <w:rFonts w:eastAsia="Calibri" w:cstheme="minorHAnsi"/>
          <w:color w:val="000000"/>
        </w:rPr>
        <w:t>This</w:t>
      </w:r>
      <w:r w:rsidR="16757D77" w:rsidRPr="00D16C1F">
        <w:rPr>
          <w:rFonts w:eastAsia="Calibri" w:cstheme="minorHAnsi"/>
          <w:color w:val="000000"/>
        </w:rPr>
        <w:t xml:space="preserve"> h</w:t>
      </w:r>
      <w:r w:rsidRPr="00D16C1F">
        <w:rPr>
          <w:rFonts w:eastAsia="Calibri" w:cstheme="minorHAnsi"/>
          <w:color w:val="000000"/>
        </w:rPr>
        <w:t>as been structured</w:t>
      </w:r>
      <w:r w:rsidR="4748F8A1" w:rsidRPr="00D16C1F">
        <w:rPr>
          <w:rFonts w:eastAsia="Calibri" w:cstheme="minorHAnsi"/>
          <w:color w:val="000000"/>
        </w:rPr>
        <w:t xml:space="preserve"> </w:t>
      </w:r>
      <w:r w:rsidR="16757D77" w:rsidRPr="00D16C1F">
        <w:rPr>
          <w:rFonts w:eastAsia="Calibri" w:cstheme="minorHAnsi"/>
          <w:color w:val="000000"/>
        </w:rPr>
        <w:t xml:space="preserve">around </w:t>
      </w:r>
      <w:r w:rsidR="2F4CB220" w:rsidRPr="00D16C1F">
        <w:rPr>
          <w:rFonts w:eastAsia="Calibri" w:cstheme="minorHAnsi"/>
          <w:color w:val="000000"/>
        </w:rPr>
        <w:t>the three overarching objectives set out in the Natio</w:t>
      </w:r>
      <w:r w:rsidR="35C7BA30" w:rsidRPr="00D16C1F">
        <w:rPr>
          <w:rFonts w:eastAsia="Calibri" w:cstheme="minorHAnsi"/>
          <w:color w:val="000000"/>
        </w:rPr>
        <w:t>nal Planning Policy Framework (</w:t>
      </w:r>
      <w:r w:rsidR="2F4CB220" w:rsidRPr="00D16C1F">
        <w:rPr>
          <w:rFonts w:eastAsia="Calibri" w:cstheme="minorHAnsi"/>
          <w:color w:val="000000"/>
        </w:rPr>
        <w:t>2021</w:t>
      </w:r>
      <w:r w:rsidR="4748F8A1" w:rsidRPr="00D16C1F">
        <w:rPr>
          <w:rFonts w:eastAsia="Calibri" w:cstheme="minorHAnsi"/>
          <w:color w:val="000000"/>
        </w:rPr>
        <w:t xml:space="preserve"> paragraph 8</w:t>
      </w:r>
      <w:r w:rsidR="2F4CB220" w:rsidRPr="00D16C1F">
        <w:rPr>
          <w:rFonts w:eastAsia="Calibri" w:cstheme="minorHAnsi"/>
          <w:color w:val="000000"/>
        </w:rPr>
        <w:t>)</w:t>
      </w:r>
      <w:r w:rsidR="16757D77" w:rsidRPr="00D16C1F">
        <w:rPr>
          <w:rFonts w:eastAsia="Calibri" w:cstheme="minorHAnsi"/>
          <w:color w:val="000000"/>
        </w:rPr>
        <w:t>:</w:t>
      </w:r>
    </w:p>
    <w:p w14:paraId="11DA80AC" w14:textId="3A7C17A1" w:rsidR="00E036C1" w:rsidRPr="00D16C1F" w:rsidRDefault="00D16C1F" w:rsidP="009978CB">
      <w:pPr>
        <w:pStyle w:val="ListParagraph"/>
        <w:numPr>
          <w:ilvl w:val="0"/>
          <w:numId w:val="8"/>
        </w:numPr>
        <w:spacing w:before="240" w:line="276" w:lineRule="auto"/>
        <w:jc w:val="both"/>
        <w:rPr>
          <w:rFonts w:asciiTheme="minorHAnsi" w:hAnsiTheme="minorHAnsi" w:cstheme="minorHAnsi"/>
        </w:rPr>
      </w:pPr>
      <w:r w:rsidRPr="00D16C1F">
        <w:rPr>
          <w:rFonts w:asciiTheme="minorHAnsi" w:hAnsiTheme="minorHAnsi" w:cstheme="minorHAnsi"/>
        </w:rPr>
        <w:t xml:space="preserve">Economic </w:t>
      </w:r>
      <w:r w:rsidR="00292CDF">
        <w:rPr>
          <w:rFonts w:asciiTheme="minorHAnsi" w:hAnsiTheme="minorHAnsi" w:cstheme="minorHAnsi"/>
        </w:rPr>
        <w:t>o</w:t>
      </w:r>
      <w:r w:rsidR="00E036C1" w:rsidRPr="00D16C1F">
        <w:rPr>
          <w:rFonts w:asciiTheme="minorHAnsi" w:hAnsiTheme="minorHAnsi" w:cstheme="minorHAnsi"/>
        </w:rPr>
        <w:t>bjective</w:t>
      </w:r>
      <w:r w:rsidR="001F2105" w:rsidRPr="00D16C1F">
        <w:rPr>
          <w:rFonts w:asciiTheme="minorHAnsi" w:hAnsiTheme="minorHAnsi" w:cstheme="minorHAnsi"/>
        </w:rPr>
        <w:t>s to build a strong, responsive and competitive economy - t</w:t>
      </w:r>
      <w:r w:rsidR="00BA5A5A" w:rsidRPr="00D16C1F">
        <w:rPr>
          <w:rFonts w:asciiTheme="minorHAnsi" w:hAnsiTheme="minorHAnsi" w:cstheme="minorHAnsi"/>
        </w:rPr>
        <w:t>he economy, retail, community and i</w:t>
      </w:r>
      <w:r w:rsidR="001F2105" w:rsidRPr="00D16C1F">
        <w:rPr>
          <w:rFonts w:asciiTheme="minorHAnsi" w:hAnsiTheme="minorHAnsi" w:cstheme="minorHAnsi"/>
        </w:rPr>
        <w:t>nfrastructure</w:t>
      </w:r>
      <w:r w:rsidR="00164B26">
        <w:rPr>
          <w:rFonts w:asciiTheme="minorHAnsi" w:hAnsiTheme="minorHAnsi" w:cstheme="minorHAnsi"/>
        </w:rPr>
        <w:t>;</w:t>
      </w:r>
      <w:r w:rsidR="001F2105" w:rsidRPr="00D16C1F">
        <w:rPr>
          <w:rFonts w:asciiTheme="minorHAnsi" w:hAnsiTheme="minorHAnsi" w:cstheme="minorHAnsi"/>
        </w:rPr>
        <w:t xml:space="preserve"> </w:t>
      </w:r>
    </w:p>
    <w:p w14:paraId="06870401" w14:textId="45A35F5E" w:rsidR="001F2105" w:rsidRPr="00D16C1F" w:rsidRDefault="001F2105" w:rsidP="009978CB">
      <w:pPr>
        <w:pStyle w:val="ListParagraph"/>
        <w:numPr>
          <w:ilvl w:val="0"/>
          <w:numId w:val="8"/>
        </w:numPr>
        <w:spacing w:before="240" w:line="276" w:lineRule="auto"/>
        <w:jc w:val="both"/>
        <w:rPr>
          <w:rFonts w:asciiTheme="minorHAnsi" w:hAnsiTheme="minorHAnsi" w:cstheme="minorHAnsi"/>
        </w:rPr>
      </w:pPr>
      <w:r w:rsidRPr="00D16C1F">
        <w:rPr>
          <w:rFonts w:asciiTheme="minorHAnsi" w:hAnsiTheme="minorHAnsi" w:cstheme="minorHAnsi"/>
        </w:rPr>
        <w:t>Social objectives to support strong, vibrant and healthy communities</w:t>
      </w:r>
      <w:r w:rsidR="002D63A7" w:rsidRPr="00D16C1F">
        <w:rPr>
          <w:rFonts w:asciiTheme="minorHAnsi" w:hAnsiTheme="minorHAnsi" w:cstheme="minorHAnsi"/>
        </w:rPr>
        <w:t xml:space="preserve"> - </w:t>
      </w:r>
      <w:r w:rsidRPr="00D16C1F">
        <w:rPr>
          <w:rFonts w:asciiTheme="minorHAnsi" w:hAnsiTheme="minorHAnsi" w:cstheme="minorHAnsi"/>
        </w:rPr>
        <w:t>housing, health and community benefits</w:t>
      </w:r>
      <w:r w:rsidR="00164B26">
        <w:rPr>
          <w:rFonts w:asciiTheme="minorHAnsi" w:hAnsiTheme="minorHAnsi" w:cstheme="minorHAnsi"/>
        </w:rPr>
        <w:t>;</w:t>
      </w:r>
    </w:p>
    <w:p w14:paraId="04B152B7" w14:textId="10CCD8EE" w:rsidR="001F2105" w:rsidRPr="00D16C1F" w:rsidRDefault="00BA5A5A" w:rsidP="009978CB">
      <w:pPr>
        <w:pStyle w:val="ListParagraph"/>
        <w:numPr>
          <w:ilvl w:val="0"/>
          <w:numId w:val="8"/>
        </w:numPr>
        <w:spacing w:line="276" w:lineRule="auto"/>
        <w:jc w:val="both"/>
        <w:rPr>
          <w:rFonts w:asciiTheme="minorHAnsi" w:hAnsiTheme="minorHAnsi" w:cstheme="minorHAnsi"/>
        </w:rPr>
      </w:pPr>
      <w:r w:rsidRPr="00D16C1F">
        <w:rPr>
          <w:rFonts w:asciiTheme="minorHAnsi" w:hAnsiTheme="minorHAnsi" w:cstheme="minorHAnsi"/>
        </w:rPr>
        <w:lastRenderedPageBreak/>
        <w:t>Environmental objectives to project and enhance our natural, built and historic environment</w:t>
      </w:r>
      <w:r w:rsidR="002D63A7" w:rsidRPr="00D16C1F">
        <w:rPr>
          <w:rFonts w:asciiTheme="minorHAnsi" w:hAnsiTheme="minorHAnsi" w:cstheme="minorHAnsi"/>
        </w:rPr>
        <w:t xml:space="preserve"> - </w:t>
      </w:r>
      <w:r w:rsidRPr="00D16C1F">
        <w:rPr>
          <w:rFonts w:asciiTheme="minorHAnsi" w:hAnsiTheme="minorHAnsi" w:cstheme="minorHAnsi"/>
        </w:rPr>
        <w:t>design and heritage, protecting our green and blue spaces and making wise use of our natural resources to secure a good quality local environment.</w:t>
      </w:r>
    </w:p>
    <w:p w14:paraId="5E4B428A" w14:textId="16B363AD" w:rsidR="00AA3EC0" w:rsidRPr="00D16C1F" w:rsidRDefault="00AA3EC0">
      <w:pPr>
        <w:rPr>
          <w:rFonts w:cstheme="minorHAnsi"/>
        </w:rPr>
      </w:pPr>
      <w:r w:rsidRPr="00D16C1F">
        <w:rPr>
          <w:rFonts w:cstheme="minorHAnsi"/>
        </w:rPr>
        <w:br w:type="page"/>
      </w:r>
    </w:p>
    <w:p w14:paraId="489D0B36" w14:textId="2AE50A1B" w:rsidR="00157E07" w:rsidRDefault="00FB6398" w:rsidP="00FB6398">
      <w:pPr>
        <w:pStyle w:val="Heading1"/>
        <w:rPr>
          <w:rFonts w:eastAsia="Calibri"/>
        </w:rPr>
      </w:pPr>
      <w:bookmarkStart w:id="17" w:name="_Toc55376488"/>
      <w:bookmarkStart w:id="18" w:name="_Toc88135836"/>
      <w:r>
        <w:rPr>
          <w:rFonts w:eastAsia="Calibri"/>
        </w:rPr>
        <w:lastRenderedPageBreak/>
        <w:t xml:space="preserve">Chapter 2: </w:t>
      </w:r>
      <w:r w:rsidR="00BA5A5A">
        <w:rPr>
          <w:rFonts w:eastAsia="Calibri"/>
        </w:rPr>
        <w:t>Progress</w:t>
      </w:r>
      <w:r w:rsidR="00F03E2F">
        <w:rPr>
          <w:rFonts w:eastAsia="Calibri"/>
        </w:rPr>
        <w:t xml:space="preserve"> on development plan documents and other </w:t>
      </w:r>
      <w:r w:rsidR="008A303E">
        <w:rPr>
          <w:rFonts w:eastAsia="Calibri"/>
        </w:rPr>
        <w:t>non-statutory</w:t>
      </w:r>
      <w:r w:rsidR="00F03E2F">
        <w:rPr>
          <w:rFonts w:eastAsia="Calibri"/>
        </w:rPr>
        <w:t xml:space="preserve"> documents.</w:t>
      </w:r>
      <w:bookmarkEnd w:id="18"/>
    </w:p>
    <w:p w14:paraId="355A1C48" w14:textId="0EA87D1F" w:rsidR="00157E07" w:rsidRPr="0058440A" w:rsidRDefault="00157E07" w:rsidP="0058440A">
      <w:pPr>
        <w:pStyle w:val="Heading2"/>
        <w:rPr>
          <w:rFonts w:eastAsia="Calibri"/>
        </w:rPr>
      </w:pPr>
      <w:bookmarkStart w:id="19" w:name="_Toc88135837"/>
      <w:r w:rsidRPr="0058440A">
        <w:rPr>
          <w:rFonts w:eastAsia="Calibri"/>
        </w:rPr>
        <w:t>The Local Development Scheme</w:t>
      </w:r>
      <w:bookmarkEnd w:id="19"/>
    </w:p>
    <w:bookmarkEnd w:id="17"/>
    <w:p w14:paraId="2340257D" w14:textId="1076646F" w:rsidR="0058440A" w:rsidRPr="00CB55F8" w:rsidRDefault="00157E07" w:rsidP="00F75A5C">
      <w:pPr>
        <w:pStyle w:val="ListParagraph"/>
        <w:numPr>
          <w:ilvl w:val="0"/>
          <w:numId w:val="10"/>
        </w:numPr>
        <w:spacing w:before="240" w:after="240"/>
        <w:contextualSpacing w:val="0"/>
        <w:jc w:val="both"/>
        <w:rPr>
          <w:rFonts w:asciiTheme="minorHAnsi" w:hAnsiTheme="minorHAnsi" w:cstheme="minorHAnsi"/>
          <w:lang w:eastAsia="en-GB"/>
        </w:rPr>
      </w:pPr>
      <w:r w:rsidRPr="00CB55F8">
        <w:rPr>
          <w:rFonts w:asciiTheme="minorHAnsi" w:eastAsia="Calibri" w:hAnsiTheme="minorHAnsi" w:cstheme="minorHAnsi"/>
          <w:bCs/>
        </w:rPr>
        <w:t>The Local D</w:t>
      </w:r>
      <w:r w:rsidR="008F0ADA" w:rsidRPr="00CB55F8">
        <w:rPr>
          <w:rFonts w:asciiTheme="minorHAnsi" w:hAnsiTheme="minorHAnsi" w:cstheme="minorHAnsi"/>
        </w:rPr>
        <w:t xml:space="preserve">evelopment Scheme (LDS) is a project plan that sets out timescales for the preparation </w:t>
      </w:r>
      <w:r w:rsidR="008A303E" w:rsidRPr="00CB55F8">
        <w:rPr>
          <w:rFonts w:asciiTheme="minorHAnsi" w:hAnsiTheme="minorHAnsi" w:cstheme="minorHAnsi"/>
        </w:rPr>
        <w:t>and revision</w:t>
      </w:r>
      <w:r w:rsidR="008F0ADA" w:rsidRPr="00CB55F8">
        <w:rPr>
          <w:rFonts w:asciiTheme="minorHAnsi" w:hAnsiTheme="minorHAnsi" w:cstheme="minorHAnsi"/>
        </w:rPr>
        <w:t xml:space="preserve"> of documents in Oxford’s Local Plan and other planning policy documents.  The LDS provides details on what each document will contain and the geographical area it will cover.</w:t>
      </w:r>
    </w:p>
    <w:tbl>
      <w:tblPr>
        <w:tblStyle w:val="TableGrid84"/>
        <w:tblW w:w="0" w:type="auto"/>
        <w:jc w:val="center"/>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1587"/>
        <w:gridCol w:w="1587"/>
        <w:gridCol w:w="4394"/>
      </w:tblGrid>
      <w:tr w:rsidR="00AF3791" w:rsidRPr="00366228" w14:paraId="3496BDF7" w14:textId="77777777" w:rsidTr="00AF3791">
        <w:trPr>
          <w:jc w:val="center"/>
        </w:trPr>
        <w:tc>
          <w:tcPr>
            <w:tcW w:w="1587" w:type="dxa"/>
            <w:shd w:val="clear" w:color="auto" w:fill="FFF2CC" w:themeFill="accent4" w:themeFillTint="33"/>
            <w:vAlign w:val="center"/>
          </w:tcPr>
          <w:p w14:paraId="26B8D092" w14:textId="77777777" w:rsidR="00AF3791" w:rsidRDefault="00A50388" w:rsidP="0058440A">
            <w:pPr>
              <w:jc w:val="center"/>
              <w:rPr>
                <w:rFonts w:cs="Calibri"/>
              </w:rPr>
            </w:pPr>
            <w:r w:rsidRPr="00413743">
              <w:rPr>
                <w:rFonts w:cs="Calibri"/>
              </w:rPr>
              <w:t xml:space="preserve"> </w:t>
            </w:r>
          </w:p>
          <w:p w14:paraId="7234E98E" w14:textId="1B2638BF" w:rsidR="008F0ADA" w:rsidRPr="00366228" w:rsidRDefault="008F0ADA" w:rsidP="0058440A">
            <w:pPr>
              <w:jc w:val="center"/>
              <w:rPr>
                <w:b/>
                <w:color w:val="262626" w:themeColor="text1" w:themeTint="D9"/>
                <w:sz w:val="20"/>
              </w:rPr>
            </w:pPr>
            <w:r w:rsidRPr="00366228">
              <w:rPr>
                <w:b/>
                <w:color w:val="262626" w:themeColor="text1" w:themeTint="D9"/>
                <w:sz w:val="20"/>
              </w:rPr>
              <w:t>Document title</w:t>
            </w:r>
          </w:p>
        </w:tc>
        <w:tc>
          <w:tcPr>
            <w:tcW w:w="1587" w:type="dxa"/>
            <w:shd w:val="clear" w:color="auto" w:fill="FFF2CC" w:themeFill="accent4" w:themeFillTint="33"/>
            <w:vAlign w:val="center"/>
          </w:tcPr>
          <w:p w14:paraId="72F0E66B" w14:textId="77777777" w:rsidR="008F0ADA" w:rsidRPr="00366228" w:rsidRDefault="008F0ADA" w:rsidP="0058440A">
            <w:pPr>
              <w:jc w:val="center"/>
              <w:rPr>
                <w:b/>
                <w:color w:val="262626" w:themeColor="text1" w:themeTint="D9"/>
                <w:sz w:val="20"/>
              </w:rPr>
            </w:pPr>
            <w:r w:rsidRPr="00366228">
              <w:rPr>
                <w:b/>
                <w:color w:val="262626" w:themeColor="text1" w:themeTint="D9"/>
                <w:sz w:val="20"/>
              </w:rPr>
              <w:t>LDS timescale</w:t>
            </w:r>
          </w:p>
          <w:p w14:paraId="1EC47E33" w14:textId="77777777" w:rsidR="008F0ADA" w:rsidRPr="00366228" w:rsidRDefault="008F0ADA" w:rsidP="0058440A">
            <w:pPr>
              <w:jc w:val="center"/>
              <w:rPr>
                <w:b/>
                <w:color w:val="262626" w:themeColor="text1" w:themeTint="D9"/>
                <w:sz w:val="20"/>
              </w:rPr>
            </w:pPr>
            <w:r w:rsidRPr="00366228">
              <w:rPr>
                <w:b/>
                <w:color w:val="262626" w:themeColor="text1" w:themeTint="D9"/>
                <w:sz w:val="20"/>
              </w:rPr>
              <w:t>(as relevant to the monitoring period)</w:t>
            </w:r>
          </w:p>
        </w:tc>
        <w:tc>
          <w:tcPr>
            <w:tcW w:w="4394" w:type="dxa"/>
            <w:shd w:val="clear" w:color="auto" w:fill="FFF2CC" w:themeFill="accent4" w:themeFillTint="33"/>
            <w:vAlign w:val="center"/>
          </w:tcPr>
          <w:p w14:paraId="732A3095" w14:textId="77777777" w:rsidR="008F0ADA" w:rsidRPr="00366228" w:rsidRDefault="008F0ADA" w:rsidP="00413743">
            <w:pPr>
              <w:jc w:val="center"/>
              <w:rPr>
                <w:b/>
                <w:color w:val="262626" w:themeColor="text1" w:themeTint="D9"/>
                <w:sz w:val="20"/>
              </w:rPr>
            </w:pPr>
            <w:r w:rsidRPr="00366228">
              <w:rPr>
                <w:b/>
                <w:color w:val="262626" w:themeColor="text1" w:themeTint="D9"/>
                <w:sz w:val="20"/>
              </w:rPr>
              <w:t>Progress during the 20</w:t>
            </w:r>
            <w:r w:rsidR="00413743">
              <w:rPr>
                <w:b/>
                <w:color w:val="262626" w:themeColor="text1" w:themeTint="D9"/>
                <w:sz w:val="20"/>
              </w:rPr>
              <w:t>20</w:t>
            </w:r>
            <w:r w:rsidRPr="00366228">
              <w:rPr>
                <w:b/>
                <w:color w:val="262626" w:themeColor="text1" w:themeTint="D9"/>
                <w:sz w:val="20"/>
              </w:rPr>
              <w:t>/2</w:t>
            </w:r>
            <w:r w:rsidR="00413743">
              <w:rPr>
                <w:b/>
                <w:color w:val="262626" w:themeColor="text1" w:themeTint="D9"/>
                <w:sz w:val="20"/>
              </w:rPr>
              <w:t>1</w:t>
            </w:r>
            <w:r w:rsidRPr="00366228">
              <w:rPr>
                <w:b/>
                <w:color w:val="262626" w:themeColor="text1" w:themeTint="D9"/>
                <w:sz w:val="20"/>
              </w:rPr>
              <w:t xml:space="preserve"> monitoring year</w:t>
            </w:r>
          </w:p>
        </w:tc>
      </w:tr>
      <w:tr w:rsidR="00AF3791" w:rsidRPr="00366228" w14:paraId="38B9E935" w14:textId="77777777" w:rsidTr="00AF3791">
        <w:trPr>
          <w:jc w:val="center"/>
        </w:trPr>
        <w:tc>
          <w:tcPr>
            <w:tcW w:w="1587" w:type="dxa"/>
            <w:shd w:val="clear" w:color="auto" w:fill="auto"/>
            <w:vAlign w:val="center"/>
          </w:tcPr>
          <w:p w14:paraId="16026DB2" w14:textId="77777777" w:rsidR="008F0ADA" w:rsidRPr="00366228" w:rsidRDefault="008F0ADA" w:rsidP="0058440A">
            <w:pPr>
              <w:jc w:val="center"/>
              <w:rPr>
                <w:color w:val="262626" w:themeColor="text1" w:themeTint="D9"/>
                <w:sz w:val="20"/>
              </w:rPr>
            </w:pPr>
            <w:r w:rsidRPr="00366228">
              <w:rPr>
                <w:color w:val="262626" w:themeColor="text1" w:themeTint="D9"/>
                <w:sz w:val="20"/>
              </w:rPr>
              <w:t>Oxford Local Plan 2036</w:t>
            </w:r>
          </w:p>
        </w:tc>
        <w:tc>
          <w:tcPr>
            <w:tcW w:w="1587" w:type="dxa"/>
            <w:shd w:val="clear" w:color="auto" w:fill="auto"/>
            <w:vAlign w:val="center"/>
          </w:tcPr>
          <w:p w14:paraId="76370BA5" w14:textId="77777777" w:rsidR="008F0ADA" w:rsidRPr="00366228" w:rsidRDefault="00A50388" w:rsidP="00A50388">
            <w:pPr>
              <w:jc w:val="center"/>
              <w:rPr>
                <w:color w:val="262626" w:themeColor="text1" w:themeTint="D9"/>
                <w:sz w:val="20"/>
              </w:rPr>
            </w:pPr>
            <w:r>
              <w:rPr>
                <w:color w:val="262626" w:themeColor="text1" w:themeTint="D9"/>
                <w:sz w:val="20"/>
              </w:rPr>
              <w:t>Adopted June 2020</w:t>
            </w:r>
          </w:p>
        </w:tc>
        <w:tc>
          <w:tcPr>
            <w:tcW w:w="4394" w:type="dxa"/>
            <w:shd w:val="clear" w:color="auto" w:fill="auto"/>
            <w:vAlign w:val="center"/>
          </w:tcPr>
          <w:p w14:paraId="38C6ABCF" w14:textId="77777777" w:rsidR="008F0ADA" w:rsidRPr="00366228" w:rsidRDefault="00413743" w:rsidP="00413743">
            <w:pPr>
              <w:rPr>
                <w:color w:val="262626" w:themeColor="text1" w:themeTint="D9"/>
                <w:sz w:val="20"/>
              </w:rPr>
            </w:pPr>
            <w:r>
              <w:rPr>
                <w:color w:val="262626" w:themeColor="text1" w:themeTint="D9"/>
                <w:sz w:val="20"/>
              </w:rPr>
              <w:t xml:space="preserve">The OLP 2036 supersedes saved policies of the OLP 2016, Oxford Core Strategy 2011 and the Sites and Housing Plan 2013. </w:t>
            </w:r>
          </w:p>
        </w:tc>
      </w:tr>
      <w:tr w:rsidR="00AF3791" w:rsidRPr="00366228" w14:paraId="48F8DA48" w14:textId="77777777" w:rsidTr="00AF3791">
        <w:trPr>
          <w:jc w:val="center"/>
        </w:trPr>
        <w:tc>
          <w:tcPr>
            <w:tcW w:w="1587" w:type="dxa"/>
            <w:shd w:val="clear" w:color="auto" w:fill="auto"/>
            <w:vAlign w:val="center"/>
          </w:tcPr>
          <w:p w14:paraId="4F347B42" w14:textId="77777777" w:rsidR="008F0ADA" w:rsidRPr="00366228" w:rsidRDefault="00413743" w:rsidP="0058440A">
            <w:pPr>
              <w:jc w:val="center"/>
              <w:rPr>
                <w:color w:val="262626" w:themeColor="text1" w:themeTint="D9"/>
                <w:sz w:val="20"/>
              </w:rPr>
            </w:pPr>
            <w:r>
              <w:rPr>
                <w:color w:val="262626" w:themeColor="text1" w:themeTint="D9"/>
                <w:sz w:val="20"/>
              </w:rPr>
              <w:t xml:space="preserve">Adopted Policies Map </w:t>
            </w:r>
          </w:p>
        </w:tc>
        <w:tc>
          <w:tcPr>
            <w:tcW w:w="1587" w:type="dxa"/>
            <w:shd w:val="clear" w:color="auto" w:fill="auto"/>
            <w:vAlign w:val="center"/>
          </w:tcPr>
          <w:p w14:paraId="2B69671F" w14:textId="77777777" w:rsidR="008F0ADA" w:rsidRPr="00366228" w:rsidRDefault="00413743" w:rsidP="0058440A">
            <w:pPr>
              <w:jc w:val="center"/>
              <w:rPr>
                <w:color w:val="262626" w:themeColor="text1" w:themeTint="D9"/>
                <w:sz w:val="20"/>
              </w:rPr>
            </w:pPr>
            <w:r>
              <w:rPr>
                <w:color w:val="262626" w:themeColor="text1" w:themeTint="D9"/>
                <w:sz w:val="20"/>
              </w:rPr>
              <w:t>Adopted June 2020</w:t>
            </w:r>
          </w:p>
        </w:tc>
        <w:tc>
          <w:tcPr>
            <w:tcW w:w="4394" w:type="dxa"/>
            <w:shd w:val="clear" w:color="auto" w:fill="auto"/>
            <w:vAlign w:val="center"/>
          </w:tcPr>
          <w:p w14:paraId="05A5E96E" w14:textId="77777777" w:rsidR="008F0ADA" w:rsidRPr="00366228" w:rsidRDefault="00413743" w:rsidP="0058440A">
            <w:pPr>
              <w:jc w:val="center"/>
              <w:rPr>
                <w:color w:val="262626" w:themeColor="text1" w:themeTint="D9"/>
                <w:sz w:val="20"/>
              </w:rPr>
            </w:pPr>
            <w:r>
              <w:rPr>
                <w:color w:val="262626" w:themeColor="text1" w:themeTint="D9"/>
                <w:sz w:val="20"/>
              </w:rPr>
              <w:t>Revised and updated to reflect the adopted policies.</w:t>
            </w:r>
          </w:p>
        </w:tc>
      </w:tr>
    </w:tbl>
    <w:p w14:paraId="1F0E4C49" w14:textId="50220CC1" w:rsidR="008F0ADA" w:rsidRPr="00EB3687" w:rsidRDefault="008F0ADA" w:rsidP="00DE52E5">
      <w:pPr>
        <w:spacing w:before="240" w:after="200"/>
        <w:jc w:val="center"/>
        <w:rPr>
          <w:rFonts w:cs="Calibri"/>
          <w:sz w:val="20"/>
          <w:szCs w:val="20"/>
        </w:rPr>
      </w:pPr>
      <w:r w:rsidRPr="00EB3687">
        <w:rPr>
          <w:rFonts w:cs="Calibri"/>
          <w:b/>
          <w:sz w:val="20"/>
          <w:szCs w:val="20"/>
        </w:rPr>
        <w:t xml:space="preserve">Table </w:t>
      </w:r>
      <w:r w:rsidR="00413743" w:rsidRPr="00EB3687">
        <w:rPr>
          <w:rFonts w:cs="Calibri"/>
          <w:b/>
          <w:sz w:val="20"/>
          <w:szCs w:val="20"/>
        </w:rPr>
        <w:t>1</w:t>
      </w:r>
      <w:r w:rsidRPr="00EB3687">
        <w:rPr>
          <w:rFonts w:cs="Calibri"/>
          <w:b/>
          <w:sz w:val="20"/>
          <w:szCs w:val="20"/>
        </w:rPr>
        <w:t>:</w:t>
      </w:r>
      <w:r w:rsidRPr="00EB3687">
        <w:rPr>
          <w:rFonts w:cs="Calibri"/>
          <w:sz w:val="20"/>
          <w:szCs w:val="20"/>
        </w:rPr>
        <w:t xml:space="preserve"> Progress against Local Development Scheme timescales in 20</w:t>
      </w:r>
      <w:r w:rsidR="00413743" w:rsidRPr="00EB3687">
        <w:rPr>
          <w:rFonts w:cs="Calibri"/>
          <w:sz w:val="20"/>
          <w:szCs w:val="20"/>
        </w:rPr>
        <w:t>2</w:t>
      </w:r>
      <w:r w:rsidRPr="00EB3687">
        <w:rPr>
          <w:rFonts w:cs="Calibri"/>
          <w:sz w:val="20"/>
          <w:szCs w:val="20"/>
        </w:rPr>
        <w:t>0</w:t>
      </w:r>
      <w:r w:rsidR="00413743" w:rsidRPr="00EB3687">
        <w:rPr>
          <w:rFonts w:cs="Calibri"/>
          <w:sz w:val="20"/>
          <w:szCs w:val="20"/>
        </w:rPr>
        <w:t>/21</w:t>
      </w:r>
    </w:p>
    <w:p w14:paraId="484BAFAA" w14:textId="1E06EB2E" w:rsidR="009A1875" w:rsidRPr="00CB55F8" w:rsidRDefault="1AF8061A" w:rsidP="00F75A5C">
      <w:pPr>
        <w:pStyle w:val="ListParagraph"/>
        <w:numPr>
          <w:ilvl w:val="0"/>
          <w:numId w:val="10"/>
        </w:numPr>
        <w:spacing w:after="240"/>
        <w:contextualSpacing w:val="0"/>
        <w:jc w:val="both"/>
        <w:rPr>
          <w:rFonts w:asciiTheme="minorHAnsi" w:eastAsia="Calibri" w:hAnsiTheme="minorHAnsi" w:cstheme="minorHAnsi"/>
        </w:rPr>
      </w:pPr>
      <w:r w:rsidRPr="00CB55F8">
        <w:rPr>
          <w:rFonts w:asciiTheme="minorHAnsi" w:eastAsia="Calibri" w:hAnsiTheme="minorHAnsi" w:cstheme="minorHAnsi"/>
        </w:rPr>
        <w:t xml:space="preserve">A new LDS for Oxford was published post this monitoring period </w:t>
      </w:r>
      <w:r w:rsidR="6B3E72F4" w:rsidRPr="00CB55F8">
        <w:rPr>
          <w:rFonts w:asciiTheme="minorHAnsi" w:eastAsia="Calibri" w:hAnsiTheme="minorHAnsi" w:cstheme="minorHAnsi"/>
        </w:rPr>
        <w:t>in May</w:t>
      </w:r>
      <w:r w:rsidR="17DAF157" w:rsidRPr="00CB55F8">
        <w:rPr>
          <w:rFonts w:asciiTheme="minorHAnsi" w:eastAsia="Calibri" w:hAnsiTheme="minorHAnsi" w:cstheme="minorHAnsi"/>
        </w:rPr>
        <w:t xml:space="preserve"> 2021</w:t>
      </w:r>
      <w:r w:rsidRPr="00CB55F8">
        <w:rPr>
          <w:rFonts w:asciiTheme="minorHAnsi" w:eastAsia="Calibri" w:hAnsiTheme="minorHAnsi" w:cstheme="minorHAnsi"/>
        </w:rPr>
        <w:t xml:space="preserve"> and covers the period 202</w:t>
      </w:r>
      <w:r w:rsidR="17DAF157" w:rsidRPr="00CB55F8">
        <w:rPr>
          <w:rFonts w:asciiTheme="minorHAnsi" w:eastAsia="Calibri" w:hAnsiTheme="minorHAnsi" w:cstheme="minorHAnsi"/>
        </w:rPr>
        <w:t>1</w:t>
      </w:r>
      <w:r w:rsidRPr="00CB55F8">
        <w:rPr>
          <w:rFonts w:asciiTheme="minorHAnsi" w:eastAsia="Calibri" w:hAnsiTheme="minorHAnsi" w:cstheme="minorHAnsi"/>
        </w:rPr>
        <w:t>-202</w:t>
      </w:r>
      <w:r w:rsidR="17DAF157" w:rsidRPr="00CB55F8">
        <w:rPr>
          <w:rFonts w:asciiTheme="minorHAnsi" w:eastAsia="Calibri" w:hAnsiTheme="minorHAnsi" w:cstheme="minorHAnsi"/>
        </w:rPr>
        <w:t>6</w:t>
      </w:r>
      <w:r w:rsidRPr="00CB55F8">
        <w:rPr>
          <w:rFonts w:asciiTheme="minorHAnsi" w:eastAsia="Calibri" w:hAnsiTheme="minorHAnsi" w:cstheme="minorHAnsi"/>
        </w:rPr>
        <w:t>. This LDS will therefore be used to assess progress in the subsequent monitoring report.</w:t>
      </w:r>
      <w:r w:rsidR="17DAF157" w:rsidRPr="00CB55F8">
        <w:rPr>
          <w:rFonts w:asciiTheme="minorHAnsi" w:eastAsia="Calibri" w:hAnsiTheme="minorHAnsi" w:cstheme="minorHAnsi"/>
        </w:rPr>
        <w:t xml:space="preserve">  It is published on the Council’s website at </w:t>
      </w:r>
      <w:hyperlink r:id="rId14">
        <w:r w:rsidR="17DAF157" w:rsidRPr="00CB55F8">
          <w:rPr>
            <w:rStyle w:val="Hyperlink"/>
            <w:rFonts w:asciiTheme="minorHAnsi" w:eastAsia="Calibri" w:hAnsiTheme="minorHAnsi" w:cstheme="minorHAnsi"/>
          </w:rPr>
          <w:t>www.oxford.gov.uk/lds</w:t>
        </w:r>
      </w:hyperlink>
      <w:r w:rsidR="00F75A5C">
        <w:rPr>
          <w:rStyle w:val="Hyperlink"/>
          <w:rFonts w:asciiTheme="minorHAnsi" w:eastAsia="Calibri" w:hAnsiTheme="minorHAnsi" w:cstheme="minorHAnsi"/>
          <w:color w:val="auto"/>
          <w:u w:val="none"/>
        </w:rPr>
        <w:t>.</w:t>
      </w:r>
      <w:r w:rsidR="00816763" w:rsidRPr="00CB55F8">
        <w:rPr>
          <w:rFonts w:asciiTheme="minorHAnsi" w:eastAsia="Calibri" w:hAnsiTheme="minorHAnsi" w:cstheme="minorHAnsi"/>
        </w:rPr>
        <w:t xml:space="preserve"> </w:t>
      </w:r>
    </w:p>
    <w:p w14:paraId="173D6A3D" w14:textId="2FF0DC2E" w:rsidR="007775A0" w:rsidRPr="00CB55F8" w:rsidRDefault="007775A0" w:rsidP="00F75A5C">
      <w:pPr>
        <w:pStyle w:val="ListParagraph"/>
        <w:numPr>
          <w:ilvl w:val="0"/>
          <w:numId w:val="10"/>
        </w:numPr>
        <w:spacing w:after="240"/>
        <w:contextualSpacing w:val="0"/>
        <w:jc w:val="both"/>
        <w:rPr>
          <w:rFonts w:asciiTheme="minorHAnsi" w:eastAsia="Calibri" w:hAnsiTheme="minorHAnsi" w:cstheme="minorHAnsi"/>
        </w:rPr>
      </w:pPr>
      <w:r w:rsidRPr="00CB55F8">
        <w:rPr>
          <w:rFonts w:asciiTheme="minorHAnsi" w:eastAsia="Calibri" w:hAnsiTheme="minorHAnsi" w:cstheme="minorHAnsi"/>
        </w:rPr>
        <w:t xml:space="preserve">The Oxfordshire Plan 2050 is under preparation and will </w:t>
      </w:r>
      <w:r w:rsidR="008A303E" w:rsidRPr="00CB55F8">
        <w:rPr>
          <w:rFonts w:asciiTheme="minorHAnsi" w:eastAsia="Calibri" w:hAnsiTheme="minorHAnsi" w:cstheme="minorHAnsi"/>
        </w:rPr>
        <w:t>contain strategic</w:t>
      </w:r>
      <w:r w:rsidR="008F0ADA" w:rsidRPr="00CB55F8">
        <w:rPr>
          <w:rFonts w:asciiTheme="minorHAnsi" w:eastAsia="Calibri" w:hAnsiTheme="minorHAnsi" w:cstheme="minorHAnsi"/>
        </w:rPr>
        <w:t xml:space="preserve"> policies for Oxfordshire for the period to 2050. </w:t>
      </w:r>
    </w:p>
    <w:p w14:paraId="2A2152E5" w14:textId="77777777" w:rsidR="007775A0" w:rsidRDefault="00405FD3" w:rsidP="0058440A">
      <w:pPr>
        <w:pStyle w:val="Heading2"/>
      </w:pPr>
      <w:bookmarkStart w:id="20" w:name="_Toc88135838"/>
      <w:r>
        <w:t>Duty to Co-operate</w:t>
      </w:r>
      <w:bookmarkEnd w:id="20"/>
    </w:p>
    <w:p w14:paraId="582E9826" w14:textId="0A546FD1" w:rsidR="00776800" w:rsidRPr="00CB55F8" w:rsidRDefault="008F0ADA" w:rsidP="00F75A5C">
      <w:pPr>
        <w:pStyle w:val="ListParagraph"/>
        <w:numPr>
          <w:ilvl w:val="0"/>
          <w:numId w:val="10"/>
        </w:numPr>
        <w:spacing w:before="240" w:after="240"/>
        <w:contextualSpacing w:val="0"/>
        <w:jc w:val="both"/>
        <w:rPr>
          <w:rFonts w:asciiTheme="minorHAnsi" w:eastAsia="Calibri" w:hAnsiTheme="minorHAnsi" w:cstheme="minorHAnsi"/>
        </w:rPr>
      </w:pPr>
      <w:r w:rsidRPr="00CB55F8">
        <w:rPr>
          <w:rFonts w:asciiTheme="minorHAnsi" w:eastAsia="Calibri" w:hAnsiTheme="minorHAnsi" w:cstheme="minorHAnsi"/>
        </w:rPr>
        <w:t xml:space="preserve">The Duty to Cooperate, introduced by the Localism Act 2011, requires on-going, constructive collaboration and active engagement with neighbouring </w:t>
      </w:r>
      <w:r w:rsidR="009A1875" w:rsidRPr="00CB55F8">
        <w:rPr>
          <w:rFonts w:asciiTheme="minorHAnsi" w:eastAsia="Calibri" w:hAnsiTheme="minorHAnsi" w:cstheme="minorHAnsi"/>
        </w:rPr>
        <w:t xml:space="preserve">authorities and other statutory </w:t>
      </w:r>
      <w:r w:rsidRPr="00CB55F8">
        <w:rPr>
          <w:rFonts w:asciiTheme="minorHAnsi" w:eastAsia="Calibri" w:hAnsiTheme="minorHAnsi" w:cstheme="minorHAnsi"/>
        </w:rPr>
        <w:t xml:space="preserve">bodies when preparing Local Plan documents. </w:t>
      </w:r>
    </w:p>
    <w:p w14:paraId="7D863E89" w14:textId="075A3407" w:rsidR="00776800" w:rsidRPr="00CB55F8" w:rsidRDefault="1AF8061A" w:rsidP="00F75A5C">
      <w:pPr>
        <w:pStyle w:val="ListParagraph"/>
        <w:numPr>
          <w:ilvl w:val="0"/>
          <w:numId w:val="10"/>
        </w:numPr>
        <w:spacing w:after="240"/>
        <w:contextualSpacing w:val="0"/>
        <w:jc w:val="both"/>
        <w:rPr>
          <w:rFonts w:asciiTheme="minorHAnsi" w:eastAsia="Calibri" w:hAnsiTheme="minorHAnsi" w:cstheme="minorHAnsi"/>
        </w:rPr>
      </w:pPr>
      <w:r w:rsidRPr="00CB55F8">
        <w:rPr>
          <w:rFonts w:asciiTheme="minorHAnsi" w:eastAsia="Calibri" w:hAnsiTheme="minorHAnsi" w:cstheme="minorHAnsi"/>
        </w:rPr>
        <w:t xml:space="preserve">The City Council has also been actively involved in a number of on-going joint-working and partnership relationships, which help to inform a shared evidence base for plan making and addressing strategic and cross-boundary issues.  This includes the </w:t>
      </w:r>
      <w:r w:rsidR="530F819B" w:rsidRPr="00CB55F8">
        <w:rPr>
          <w:rFonts w:asciiTheme="minorHAnsi" w:eastAsia="Calibri" w:hAnsiTheme="minorHAnsi" w:cstheme="minorHAnsi"/>
        </w:rPr>
        <w:t xml:space="preserve">Future Oxfordshire Partnership (formally known as the </w:t>
      </w:r>
      <w:r w:rsidRPr="00CB55F8">
        <w:rPr>
          <w:rFonts w:asciiTheme="minorHAnsi" w:eastAsia="Calibri" w:hAnsiTheme="minorHAnsi" w:cstheme="minorHAnsi"/>
        </w:rPr>
        <w:t>Oxfordshire Growth Board</w:t>
      </w:r>
      <w:r w:rsidR="4B2A38F5" w:rsidRPr="00CB55F8">
        <w:rPr>
          <w:rFonts w:asciiTheme="minorHAnsi" w:eastAsia="Calibri" w:hAnsiTheme="minorHAnsi" w:cstheme="minorHAnsi"/>
        </w:rPr>
        <w:t>)</w:t>
      </w:r>
      <w:r w:rsidRPr="00CB55F8">
        <w:rPr>
          <w:rFonts w:asciiTheme="minorHAnsi" w:eastAsia="Calibri" w:hAnsiTheme="minorHAnsi" w:cstheme="minorHAnsi"/>
        </w:rPr>
        <w:t xml:space="preserve">; the Oxfordshire Local Enterprise Partnership (LEP); the Oxfordshire Area Flood Partnership; and the Oxfordshire Planning Policy Officers Group. These meetings are attended either by lead members and/or by a range of senior officers. Engagement with other stakeholders about Duty to Cooperate matters was </w:t>
      </w:r>
      <w:r w:rsidR="6B3E72F4" w:rsidRPr="00CB55F8">
        <w:rPr>
          <w:rFonts w:asciiTheme="minorHAnsi" w:eastAsia="Calibri" w:hAnsiTheme="minorHAnsi" w:cstheme="minorHAnsi"/>
        </w:rPr>
        <w:t>very important</w:t>
      </w:r>
      <w:r w:rsidRPr="00CB55F8">
        <w:rPr>
          <w:rFonts w:asciiTheme="minorHAnsi" w:eastAsia="Calibri" w:hAnsiTheme="minorHAnsi" w:cstheme="minorHAnsi"/>
        </w:rPr>
        <w:t xml:space="preserve"> for the Local Plan 2036, and commentary about those processes is provided in more detail in the Local Plan Consultation Statement. </w:t>
      </w:r>
    </w:p>
    <w:p w14:paraId="1360218A" w14:textId="29632460" w:rsidR="0048016A" w:rsidRPr="00CB55F8" w:rsidRDefault="008F0ADA" w:rsidP="00F75A5C">
      <w:pPr>
        <w:pStyle w:val="ListParagraph"/>
        <w:numPr>
          <w:ilvl w:val="0"/>
          <w:numId w:val="10"/>
        </w:numPr>
        <w:spacing w:after="240"/>
        <w:contextualSpacing w:val="0"/>
        <w:jc w:val="both"/>
        <w:rPr>
          <w:rFonts w:asciiTheme="minorHAnsi" w:eastAsia="Calibri" w:hAnsiTheme="minorHAnsi" w:cstheme="minorHAnsi"/>
        </w:rPr>
      </w:pPr>
      <w:r w:rsidRPr="00CB55F8">
        <w:rPr>
          <w:rFonts w:asciiTheme="minorHAnsi" w:eastAsia="Calibri" w:hAnsiTheme="minorHAnsi" w:cstheme="minorHAnsi"/>
        </w:rPr>
        <w:t>A detailed Duty to Cooperate Statement</w:t>
      </w:r>
      <w:r w:rsidRPr="00CB55F8">
        <w:rPr>
          <w:rFonts w:asciiTheme="minorHAnsi" w:eastAsia="Calibri" w:hAnsiTheme="minorHAnsi" w:cstheme="minorHAnsi"/>
          <w:vertAlign w:val="superscript"/>
        </w:rPr>
        <w:footnoteReference w:id="3"/>
      </w:r>
      <w:r w:rsidRPr="00CB55F8">
        <w:rPr>
          <w:rFonts w:asciiTheme="minorHAnsi" w:eastAsia="Calibri" w:hAnsiTheme="minorHAnsi" w:cstheme="minorHAnsi"/>
        </w:rPr>
        <w:t xml:space="preserve"> </w:t>
      </w:r>
      <w:r w:rsidR="008A303E" w:rsidRPr="00CB55F8">
        <w:rPr>
          <w:rFonts w:asciiTheme="minorHAnsi" w:eastAsia="Calibri" w:hAnsiTheme="minorHAnsi" w:cstheme="minorHAnsi"/>
        </w:rPr>
        <w:t>was prepared</w:t>
      </w:r>
      <w:r w:rsidRPr="00CB55F8">
        <w:rPr>
          <w:rFonts w:asciiTheme="minorHAnsi" w:eastAsia="Calibri" w:hAnsiTheme="minorHAnsi" w:cstheme="minorHAnsi"/>
        </w:rPr>
        <w:t xml:space="preserve"> which outlines the scope and nature of engagement, both formal and informal, and the impact this cooperation has had on decisions made by the Council, including which planning policies have been put forward and </w:t>
      </w:r>
      <w:r w:rsidR="00405FD3" w:rsidRPr="00CB55F8">
        <w:rPr>
          <w:rFonts w:asciiTheme="minorHAnsi" w:eastAsia="Calibri" w:hAnsiTheme="minorHAnsi" w:cstheme="minorHAnsi"/>
        </w:rPr>
        <w:t xml:space="preserve">the </w:t>
      </w:r>
      <w:r w:rsidR="008A303E" w:rsidRPr="00CB55F8">
        <w:rPr>
          <w:rFonts w:asciiTheme="minorHAnsi" w:eastAsia="Calibri" w:hAnsiTheme="minorHAnsi" w:cstheme="minorHAnsi"/>
        </w:rPr>
        <w:t>rationale</w:t>
      </w:r>
      <w:r w:rsidR="00405FD3" w:rsidRPr="00CB55F8">
        <w:rPr>
          <w:rFonts w:asciiTheme="minorHAnsi" w:eastAsia="Calibri" w:hAnsiTheme="minorHAnsi" w:cstheme="minorHAnsi"/>
        </w:rPr>
        <w:t xml:space="preserve"> behind them.</w:t>
      </w:r>
    </w:p>
    <w:p w14:paraId="37E61F54" w14:textId="77777777" w:rsidR="008F0ADA" w:rsidRPr="0048016A" w:rsidRDefault="0048016A" w:rsidP="00CB55F8">
      <w:pPr>
        <w:pStyle w:val="Heading2"/>
        <w:rPr>
          <w:lang w:eastAsia="en-GB"/>
        </w:rPr>
      </w:pPr>
      <w:bookmarkStart w:id="21" w:name="_Toc88135839"/>
      <w:r w:rsidRPr="0048016A">
        <w:rPr>
          <w:rFonts w:eastAsia="Calibri"/>
        </w:rPr>
        <w:lastRenderedPageBreak/>
        <w:t>Neighbourhood Plans</w:t>
      </w:r>
      <w:bookmarkEnd w:id="21"/>
      <w:r w:rsidR="00405FD3" w:rsidRPr="0048016A">
        <w:rPr>
          <w:rFonts w:eastAsia="Calibri"/>
        </w:rPr>
        <w:t xml:space="preserve">  </w:t>
      </w:r>
    </w:p>
    <w:p w14:paraId="3002E49B" w14:textId="7EEF03C5" w:rsidR="00776800" w:rsidRPr="00CB55F8" w:rsidRDefault="008F0ADA" w:rsidP="00F75A5C">
      <w:pPr>
        <w:pStyle w:val="ListParagraph"/>
        <w:numPr>
          <w:ilvl w:val="0"/>
          <w:numId w:val="10"/>
        </w:numPr>
        <w:spacing w:before="240" w:after="240"/>
        <w:contextualSpacing w:val="0"/>
        <w:jc w:val="both"/>
        <w:rPr>
          <w:rFonts w:asciiTheme="minorHAnsi" w:eastAsia="Calibri" w:hAnsiTheme="minorHAnsi" w:cstheme="minorHAnsi"/>
        </w:rPr>
      </w:pPr>
      <w:r w:rsidRPr="00CB55F8">
        <w:rPr>
          <w:rFonts w:asciiTheme="minorHAnsi" w:eastAsia="Calibri" w:hAnsiTheme="minorHAnsi" w:cstheme="minorHAnsi"/>
        </w:rPr>
        <w:t xml:space="preserve">The 2011 Localism Act introduced new powers for communities that enable them to be directly involved in planning for their areas. Neighbourhood planning allows communities to come together through a parish council or neighbourhood forum to produce a neighbourhood plan. </w:t>
      </w:r>
    </w:p>
    <w:p w14:paraId="7A08E932" w14:textId="14A23248" w:rsidR="00776800" w:rsidRPr="00CB55F8" w:rsidRDefault="008F0ADA" w:rsidP="00F75A5C">
      <w:pPr>
        <w:pStyle w:val="ListParagraph"/>
        <w:numPr>
          <w:ilvl w:val="0"/>
          <w:numId w:val="10"/>
        </w:numPr>
        <w:spacing w:after="240"/>
        <w:contextualSpacing w:val="0"/>
        <w:jc w:val="both"/>
        <w:rPr>
          <w:rFonts w:asciiTheme="minorHAnsi" w:eastAsia="Calibri" w:hAnsiTheme="minorHAnsi" w:cstheme="minorHAnsi"/>
        </w:rPr>
      </w:pPr>
      <w:r w:rsidRPr="00CB55F8">
        <w:rPr>
          <w:rFonts w:asciiTheme="minorHAnsi" w:eastAsia="Calibri" w:hAnsiTheme="minorHAnsi" w:cstheme="minorHAnsi"/>
        </w:rPr>
        <w:t>The following two Neighbourhood Plans have been formally made and are used to help determine planning applications in their respective neighbourhood area:</w:t>
      </w:r>
    </w:p>
    <w:p w14:paraId="66A7E221" w14:textId="77777777" w:rsidR="008F0ADA" w:rsidRPr="00366228" w:rsidRDefault="008F0ADA" w:rsidP="00CB55F8">
      <w:pPr>
        <w:numPr>
          <w:ilvl w:val="0"/>
          <w:numId w:val="7"/>
        </w:numPr>
        <w:spacing w:before="240" w:after="200" w:line="276" w:lineRule="auto"/>
        <w:ind w:left="1281" w:hanging="357"/>
        <w:jc w:val="both"/>
        <w:rPr>
          <w:rFonts w:eastAsia="Calibri" w:cs="Times New Roman"/>
          <w:b/>
        </w:rPr>
      </w:pPr>
      <w:r w:rsidRPr="00366228">
        <w:rPr>
          <w:rFonts w:eastAsia="Calibri" w:cs="Times New Roman"/>
          <w:b/>
        </w:rPr>
        <w:t xml:space="preserve">Headington Neighbourhood Plan </w:t>
      </w:r>
      <w:r w:rsidRPr="00366228">
        <w:rPr>
          <w:rFonts w:eastAsia="Calibri" w:cs="Times New Roman"/>
        </w:rPr>
        <w:t>– made July 2017</w:t>
      </w:r>
    </w:p>
    <w:p w14:paraId="519AFE7A" w14:textId="77777777" w:rsidR="008F0ADA" w:rsidRPr="00366228" w:rsidRDefault="1AF8061A" w:rsidP="00CB55F8">
      <w:pPr>
        <w:numPr>
          <w:ilvl w:val="0"/>
          <w:numId w:val="7"/>
        </w:numPr>
        <w:spacing w:before="240" w:after="200" w:line="276" w:lineRule="auto"/>
        <w:ind w:left="1281" w:hanging="357"/>
        <w:jc w:val="both"/>
        <w:rPr>
          <w:rFonts w:eastAsia="Calibri" w:cs="Times New Roman"/>
          <w:b/>
          <w:bCs/>
          <w:color w:val="806000" w:themeColor="accent4" w:themeShade="80"/>
        </w:rPr>
      </w:pPr>
      <w:r w:rsidRPr="108EF35C">
        <w:rPr>
          <w:rFonts w:eastAsia="Calibri" w:cs="Times New Roman"/>
          <w:b/>
          <w:bCs/>
        </w:rPr>
        <w:t xml:space="preserve">Summertown and St Margaret’s Neighbourhood Plan </w:t>
      </w:r>
      <w:r w:rsidRPr="108EF35C">
        <w:rPr>
          <w:rFonts w:eastAsia="Calibri" w:cs="Times New Roman"/>
        </w:rPr>
        <w:t>– made March 2019</w:t>
      </w:r>
    </w:p>
    <w:p w14:paraId="57687AF3" w14:textId="515B4306" w:rsidR="0FE62EEC" w:rsidRPr="00CB55F8" w:rsidRDefault="23F62D40" w:rsidP="00F75A5C">
      <w:pPr>
        <w:pStyle w:val="ListParagraph"/>
        <w:numPr>
          <w:ilvl w:val="0"/>
          <w:numId w:val="10"/>
        </w:numPr>
        <w:spacing w:after="240"/>
        <w:contextualSpacing w:val="0"/>
        <w:jc w:val="both"/>
        <w:rPr>
          <w:rFonts w:asciiTheme="minorHAnsi" w:eastAsia="Calibri" w:hAnsiTheme="minorHAnsi" w:cstheme="minorHAnsi"/>
        </w:rPr>
      </w:pPr>
      <w:r w:rsidRPr="00CB55F8">
        <w:rPr>
          <w:rFonts w:asciiTheme="minorHAnsi" w:eastAsia="Calibri" w:hAnsiTheme="minorHAnsi" w:cstheme="minorHAnsi"/>
        </w:rPr>
        <w:t>During the monitoring year the</w:t>
      </w:r>
      <w:r w:rsidR="26B3933B" w:rsidRPr="00CB55F8">
        <w:rPr>
          <w:rFonts w:asciiTheme="minorHAnsi" w:eastAsia="Calibri" w:hAnsiTheme="minorHAnsi" w:cstheme="minorHAnsi"/>
        </w:rPr>
        <w:t xml:space="preserve"> referendum for the</w:t>
      </w:r>
      <w:r w:rsidRPr="00CB55F8">
        <w:rPr>
          <w:rFonts w:asciiTheme="minorHAnsi" w:eastAsia="Calibri" w:hAnsiTheme="minorHAnsi" w:cstheme="minorHAnsi"/>
        </w:rPr>
        <w:t xml:space="preserve"> </w:t>
      </w:r>
      <w:r w:rsidR="5CB8AE2F" w:rsidRPr="00CB55F8">
        <w:rPr>
          <w:rFonts w:asciiTheme="minorHAnsi" w:eastAsia="Calibri" w:hAnsiTheme="minorHAnsi" w:cstheme="minorHAnsi"/>
        </w:rPr>
        <w:t xml:space="preserve">making of the </w:t>
      </w:r>
      <w:proofErr w:type="spellStart"/>
      <w:r w:rsidR="7EBD5EC9" w:rsidRPr="00CB55F8">
        <w:rPr>
          <w:rFonts w:asciiTheme="minorHAnsi" w:eastAsia="Calibri" w:hAnsiTheme="minorHAnsi" w:cstheme="minorHAnsi"/>
        </w:rPr>
        <w:t>Wolvercote</w:t>
      </w:r>
      <w:proofErr w:type="spellEnd"/>
      <w:r w:rsidR="7EBD5EC9" w:rsidRPr="00CB55F8">
        <w:rPr>
          <w:rFonts w:asciiTheme="minorHAnsi" w:eastAsia="Calibri" w:hAnsiTheme="minorHAnsi" w:cstheme="minorHAnsi"/>
        </w:rPr>
        <w:t xml:space="preserve"> Neighbourhood Plan</w:t>
      </w:r>
      <w:r w:rsidR="204CFCD7" w:rsidRPr="00CB55F8">
        <w:rPr>
          <w:rFonts w:asciiTheme="minorHAnsi" w:eastAsia="Calibri" w:hAnsiTheme="minorHAnsi" w:cstheme="minorHAnsi"/>
        </w:rPr>
        <w:t xml:space="preserve"> was due to</w:t>
      </w:r>
      <w:r w:rsidR="7F77F1A1" w:rsidRPr="00CB55F8">
        <w:rPr>
          <w:rFonts w:asciiTheme="minorHAnsi" w:eastAsia="Calibri" w:hAnsiTheme="minorHAnsi" w:cstheme="minorHAnsi"/>
        </w:rPr>
        <w:t xml:space="preserve"> have been held.  </w:t>
      </w:r>
      <w:r w:rsidR="590F7DC6" w:rsidRPr="00CB55F8">
        <w:rPr>
          <w:rFonts w:asciiTheme="minorHAnsi" w:eastAsia="Calibri" w:hAnsiTheme="minorHAnsi" w:cstheme="minorHAnsi"/>
        </w:rPr>
        <w:t>T</w:t>
      </w:r>
      <w:r w:rsidR="78B436D6" w:rsidRPr="00CB55F8">
        <w:rPr>
          <w:rFonts w:asciiTheme="minorHAnsi" w:eastAsia="Calibri" w:hAnsiTheme="minorHAnsi" w:cstheme="minorHAnsi"/>
        </w:rPr>
        <w:t>h</w:t>
      </w:r>
      <w:r w:rsidR="57E595F4" w:rsidRPr="00CB55F8">
        <w:rPr>
          <w:rFonts w:asciiTheme="minorHAnsi" w:eastAsia="Calibri" w:hAnsiTheme="minorHAnsi" w:cstheme="minorHAnsi"/>
        </w:rPr>
        <w:t>is</w:t>
      </w:r>
      <w:r w:rsidR="3C966BC8" w:rsidRPr="00CB55F8">
        <w:rPr>
          <w:rFonts w:asciiTheme="minorHAnsi" w:eastAsia="Calibri" w:hAnsiTheme="minorHAnsi" w:cstheme="minorHAnsi"/>
        </w:rPr>
        <w:t xml:space="preserve"> was </w:t>
      </w:r>
      <w:r w:rsidR="78B436D6" w:rsidRPr="00CB55F8">
        <w:rPr>
          <w:rFonts w:asciiTheme="minorHAnsi" w:eastAsia="Calibri" w:hAnsiTheme="minorHAnsi" w:cstheme="minorHAnsi"/>
        </w:rPr>
        <w:t>delayed owing to the postponement of the 2020 Local Elections</w:t>
      </w:r>
      <w:r w:rsidR="7E206A46" w:rsidRPr="00CB55F8">
        <w:rPr>
          <w:rFonts w:asciiTheme="minorHAnsi" w:eastAsia="Calibri" w:hAnsiTheme="minorHAnsi" w:cstheme="minorHAnsi"/>
        </w:rPr>
        <w:t xml:space="preserve"> with which the referendum would have been aligned</w:t>
      </w:r>
      <w:r w:rsidR="006C378A" w:rsidRPr="00CB55F8">
        <w:rPr>
          <w:rFonts w:asciiTheme="minorHAnsi" w:eastAsia="Calibri" w:hAnsiTheme="minorHAnsi" w:cstheme="minorHAnsi"/>
        </w:rPr>
        <w:t xml:space="preserve"> however in line with Government instructions the </w:t>
      </w:r>
      <w:proofErr w:type="spellStart"/>
      <w:r w:rsidR="006C378A" w:rsidRPr="00CB55F8">
        <w:rPr>
          <w:rFonts w:asciiTheme="minorHAnsi" w:eastAsia="Calibri" w:hAnsiTheme="minorHAnsi" w:cstheme="minorHAnsi"/>
        </w:rPr>
        <w:t>Wolvercote</w:t>
      </w:r>
      <w:proofErr w:type="spellEnd"/>
      <w:r w:rsidR="006C378A" w:rsidRPr="00CB55F8">
        <w:rPr>
          <w:rFonts w:asciiTheme="minorHAnsi" w:eastAsia="Calibri" w:hAnsiTheme="minorHAnsi" w:cstheme="minorHAnsi"/>
        </w:rPr>
        <w:t xml:space="preserve"> Neighbourhood Plan was treated as though it had been passed at Referendum in May 2020</w:t>
      </w:r>
      <w:r w:rsidR="78B436D6" w:rsidRPr="00CB55F8">
        <w:rPr>
          <w:rFonts w:asciiTheme="minorHAnsi" w:eastAsia="Calibri" w:hAnsiTheme="minorHAnsi" w:cstheme="minorHAnsi"/>
        </w:rPr>
        <w:t>.</w:t>
      </w:r>
      <w:r w:rsidR="006C378A" w:rsidRPr="00CB55F8">
        <w:rPr>
          <w:rFonts w:asciiTheme="minorHAnsi" w:eastAsia="Calibri" w:hAnsiTheme="minorHAnsi" w:cstheme="minorHAnsi"/>
        </w:rPr>
        <w:t xml:space="preserve">  Subsequently th</w:t>
      </w:r>
      <w:r w:rsidR="001450A6" w:rsidRPr="00CB55F8">
        <w:rPr>
          <w:rFonts w:asciiTheme="minorHAnsi" w:eastAsia="Calibri" w:hAnsiTheme="minorHAnsi" w:cstheme="minorHAnsi"/>
        </w:rPr>
        <w:t xml:space="preserve">e referendum was held during the elections in May 2021 and the Council at its meeting on 23 June 2021 agreed to make the </w:t>
      </w:r>
      <w:proofErr w:type="spellStart"/>
      <w:r w:rsidR="001450A6" w:rsidRPr="00CB55F8">
        <w:rPr>
          <w:rFonts w:asciiTheme="minorHAnsi" w:eastAsia="Calibri" w:hAnsiTheme="minorHAnsi" w:cstheme="minorHAnsi"/>
        </w:rPr>
        <w:t>Wolvercote</w:t>
      </w:r>
      <w:proofErr w:type="spellEnd"/>
      <w:r w:rsidR="001450A6" w:rsidRPr="00CB55F8">
        <w:rPr>
          <w:rFonts w:asciiTheme="minorHAnsi" w:eastAsia="Calibri" w:hAnsiTheme="minorHAnsi" w:cstheme="minorHAnsi"/>
        </w:rPr>
        <w:t xml:space="preserve"> Neighbourhood Plan.</w:t>
      </w:r>
    </w:p>
    <w:p w14:paraId="547B1AE4" w14:textId="038CD58A" w:rsidR="008F0ADA" w:rsidRPr="0048016A" w:rsidRDefault="4352E499" w:rsidP="0058440A">
      <w:pPr>
        <w:pStyle w:val="Heading2"/>
      </w:pPr>
      <w:bookmarkStart w:id="22" w:name="_Toc88135840"/>
      <w:r>
        <w:t>Consultations</w:t>
      </w:r>
      <w:bookmarkEnd w:id="22"/>
    </w:p>
    <w:p w14:paraId="11C37000" w14:textId="357B4833" w:rsidR="008F0ADA" w:rsidRPr="00CB55F8" w:rsidRDefault="522A0685" w:rsidP="00164B26">
      <w:pPr>
        <w:pStyle w:val="ListParagraph"/>
        <w:numPr>
          <w:ilvl w:val="0"/>
          <w:numId w:val="10"/>
        </w:numPr>
        <w:spacing w:before="240" w:after="240"/>
        <w:contextualSpacing w:val="0"/>
        <w:rPr>
          <w:rFonts w:asciiTheme="minorHAnsi" w:eastAsia="Calibri" w:hAnsiTheme="minorHAnsi" w:cstheme="minorHAnsi"/>
        </w:rPr>
      </w:pPr>
      <w:r w:rsidRPr="00CB55F8">
        <w:rPr>
          <w:rFonts w:asciiTheme="minorHAnsi" w:eastAsia="Calibri" w:hAnsiTheme="minorHAnsi" w:cstheme="minorHAnsi"/>
        </w:rPr>
        <w:t xml:space="preserve">The </w:t>
      </w:r>
      <w:r w:rsidR="2047464E" w:rsidRPr="00CB55F8">
        <w:rPr>
          <w:rFonts w:asciiTheme="minorHAnsi" w:eastAsia="Calibri" w:hAnsiTheme="minorHAnsi" w:cstheme="minorHAnsi"/>
        </w:rPr>
        <w:t>only consultation that took place during the monitoring year was the West End Consultation</w:t>
      </w:r>
      <w:r w:rsidRPr="00CB55F8">
        <w:rPr>
          <w:rFonts w:asciiTheme="minorHAnsi" w:eastAsia="Calibri" w:hAnsiTheme="minorHAnsi" w:cstheme="minorHAnsi"/>
        </w:rPr>
        <w:t xml:space="preserve">. </w:t>
      </w:r>
    </w:p>
    <w:p w14:paraId="210327DE" w14:textId="77777777" w:rsidR="008F0ADA" w:rsidRPr="00366228" w:rsidRDefault="00A70D19" w:rsidP="00DE52E5">
      <w:pPr>
        <w:spacing w:before="240"/>
        <w:rPr>
          <w:b/>
        </w:rPr>
      </w:pPr>
      <w:r>
        <w:rPr>
          <w:b/>
        </w:rPr>
        <w:t>West End Consultation to support the preparation of the West End Supplementary Planning Document</w:t>
      </w:r>
      <w:r w:rsidR="00B01CF7">
        <w:rPr>
          <w:b/>
        </w:rPr>
        <w:t xml:space="preserve"> SPD</w:t>
      </w:r>
    </w:p>
    <w:tbl>
      <w:tblPr>
        <w:tblStyle w:val="TableGrid28"/>
        <w:tblW w:w="0" w:type="auto"/>
        <w:jc w:val="center"/>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1633"/>
        <w:gridCol w:w="6584"/>
      </w:tblGrid>
      <w:tr w:rsidR="008F0ADA" w:rsidRPr="00366228" w14:paraId="422322A4" w14:textId="77777777" w:rsidTr="00AF3791">
        <w:trPr>
          <w:jc w:val="center"/>
        </w:trPr>
        <w:tc>
          <w:tcPr>
            <w:tcW w:w="1633" w:type="dxa"/>
            <w:shd w:val="clear" w:color="auto" w:fill="FFF2CC" w:themeFill="accent4" w:themeFillTint="33"/>
          </w:tcPr>
          <w:p w14:paraId="111D42E6" w14:textId="77777777" w:rsidR="008F0ADA" w:rsidRPr="00366228" w:rsidRDefault="008F0ADA" w:rsidP="0058440A">
            <w:pPr>
              <w:rPr>
                <w:b/>
                <w:color w:val="262626" w:themeColor="text1" w:themeTint="D9"/>
                <w:sz w:val="20"/>
              </w:rPr>
            </w:pPr>
            <w:r w:rsidRPr="00366228">
              <w:rPr>
                <w:b/>
                <w:color w:val="262626" w:themeColor="text1" w:themeTint="D9"/>
                <w:sz w:val="20"/>
              </w:rPr>
              <w:t xml:space="preserve">Consultation dates: </w:t>
            </w:r>
          </w:p>
        </w:tc>
        <w:tc>
          <w:tcPr>
            <w:tcW w:w="6584" w:type="dxa"/>
          </w:tcPr>
          <w:p w14:paraId="2A9C1D77" w14:textId="6DB7B784" w:rsidR="008F0ADA" w:rsidRPr="00366228" w:rsidRDefault="4BFA6DE5" w:rsidP="108EF35C">
            <w:pPr>
              <w:rPr>
                <w:color w:val="262626" w:themeColor="text1" w:themeTint="D9"/>
                <w:sz w:val="20"/>
                <w:szCs w:val="20"/>
              </w:rPr>
            </w:pPr>
            <w:r w:rsidRPr="108EF35C">
              <w:rPr>
                <w:color w:val="262626" w:themeColor="text1" w:themeTint="D9"/>
                <w:sz w:val="20"/>
                <w:szCs w:val="20"/>
              </w:rPr>
              <w:t>19 March 2021 – 30 April 2021</w:t>
            </w:r>
          </w:p>
        </w:tc>
      </w:tr>
      <w:tr w:rsidR="008F0ADA" w:rsidRPr="00366228" w14:paraId="043FC9F7" w14:textId="77777777" w:rsidTr="00AF3791">
        <w:trPr>
          <w:jc w:val="center"/>
        </w:trPr>
        <w:tc>
          <w:tcPr>
            <w:tcW w:w="1633" w:type="dxa"/>
            <w:shd w:val="clear" w:color="auto" w:fill="FFF2CC" w:themeFill="accent4" w:themeFillTint="33"/>
          </w:tcPr>
          <w:p w14:paraId="58F4C132" w14:textId="77777777" w:rsidR="008F0ADA" w:rsidRPr="00366228" w:rsidRDefault="008F0ADA" w:rsidP="0058440A">
            <w:pPr>
              <w:rPr>
                <w:b/>
                <w:color w:val="262626" w:themeColor="text1" w:themeTint="D9"/>
                <w:sz w:val="20"/>
              </w:rPr>
            </w:pPr>
            <w:r w:rsidRPr="00366228">
              <w:rPr>
                <w:b/>
                <w:color w:val="262626" w:themeColor="text1" w:themeTint="D9"/>
                <w:sz w:val="20"/>
              </w:rPr>
              <w:t>Summary of what we did:</w:t>
            </w:r>
          </w:p>
        </w:tc>
        <w:tc>
          <w:tcPr>
            <w:tcW w:w="6584" w:type="dxa"/>
          </w:tcPr>
          <w:p w14:paraId="40A49047" w14:textId="0FB51F34" w:rsidR="008F0ADA" w:rsidRPr="00366228" w:rsidRDefault="00A70D19" w:rsidP="00AF3791">
            <w:pPr>
              <w:jc w:val="center"/>
              <w:rPr>
                <w:color w:val="262626" w:themeColor="text1" w:themeTint="D9"/>
                <w:sz w:val="20"/>
              </w:rPr>
            </w:pPr>
            <w:r>
              <w:rPr>
                <w:color w:val="262626" w:themeColor="text1" w:themeTint="D9"/>
                <w:sz w:val="20"/>
              </w:rPr>
              <w:t xml:space="preserve">The Planning policy team carried out a consultation in the West End and </w:t>
            </w:r>
            <w:proofErr w:type="spellStart"/>
            <w:r>
              <w:rPr>
                <w:color w:val="262626" w:themeColor="text1" w:themeTint="D9"/>
                <w:sz w:val="20"/>
              </w:rPr>
              <w:t>Osney</w:t>
            </w:r>
            <w:proofErr w:type="spellEnd"/>
            <w:r>
              <w:rPr>
                <w:color w:val="262626" w:themeColor="text1" w:themeTint="D9"/>
                <w:sz w:val="20"/>
              </w:rPr>
              <w:t xml:space="preserve"> Mead</w:t>
            </w:r>
            <w:r w:rsidR="00B01CF7">
              <w:rPr>
                <w:color w:val="262626" w:themeColor="text1" w:themeTint="D9"/>
                <w:sz w:val="20"/>
              </w:rPr>
              <w:t xml:space="preserve"> SPD inviting comments on the Issues document and the site area as a whole.  The consultation made us</w:t>
            </w:r>
            <w:r w:rsidR="008A303E">
              <w:rPr>
                <w:color w:val="262626" w:themeColor="text1" w:themeTint="D9"/>
                <w:sz w:val="20"/>
              </w:rPr>
              <w:t>e</w:t>
            </w:r>
            <w:r w:rsidR="00B01CF7">
              <w:rPr>
                <w:color w:val="262626" w:themeColor="text1" w:themeTint="D9"/>
                <w:sz w:val="20"/>
              </w:rPr>
              <w:t xml:space="preserve"> of an interactive map as an additional approach to getting views on the vision of the SPD in a way that could be tied to the identifiable areas as specifically as possible.  This consultation will be reported fully in the next AMR to reflect the time periods for the consultation.</w:t>
            </w:r>
          </w:p>
        </w:tc>
      </w:tr>
    </w:tbl>
    <w:p w14:paraId="1E33B7DD" w14:textId="77777777" w:rsidR="008F0ADA" w:rsidRPr="00366228" w:rsidRDefault="008F0ADA" w:rsidP="008F0ADA">
      <w:pPr>
        <w:rPr>
          <w:color w:val="1F497D"/>
          <w:sz w:val="24"/>
        </w:rPr>
      </w:pPr>
    </w:p>
    <w:p w14:paraId="6330CBE0" w14:textId="1FEABCC0" w:rsidR="0058440A" w:rsidRDefault="0058440A">
      <w:pPr>
        <w:rPr>
          <w:b/>
        </w:rPr>
      </w:pPr>
      <w:r>
        <w:rPr>
          <w:b/>
        </w:rPr>
        <w:br w:type="page"/>
      </w:r>
    </w:p>
    <w:p w14:paraId="61BAC4E5" w14:textId="23AF65DE" w:rsidR="0058440A" w:rsidRPr="009B45DD" w:rsidRDefault="00FB6398" w:rsidP="00DE52E5">
      <w:pPr>
        <w:pStyle w:val="Heading1"/>
        <w:spacing w:after="240"/>
      </w:pPr>
      <w:bookmarkStart w:id="23" w:name="_Toc88135841"/>
      <w:r>
        <w:lastRenderedPageBreak/>
        <w:t>Chapter 3</w:t>
      </w:r>
      <w:r w:rsidR="0058440A" w:rsidRPr="009B45DD">
        <w:t>: Foster</w:t>
      </w:r>
      <w:r w:rsidR="0058440A">
        <w:t>ing</w:t>
      </w:r>
      <w:r w:rsidR="0058440A" w:rsidRPr="009B45DD">
        <w:t xml:space="preserve"> an Inclusive Economy</w:t>
      </w:r>
      <w:bookmarkEnd w:id="23"/>
    </w:p>
    <w:p w14:paraId="6BDC0EA5" w14:textId="4D4AF999" w:rsidR="65CA81C7" w:rsidRDefault="0058440A" w:rsidP="00DE52E5">
      <w:pPr>
        <w:pStyle w:val="Heading2"/>
        <w:spacing w:after="240"/>
      </w:pPr>
      <w:bookmarkStart w:id="24" w:name="_Toc88135842"/>
      <w:r>
        <w:t>Employment Sites</w:t>
      </w:r>
      <w:bookmarkEnd w:id="24"/>
    </w:p>
    <w:p w14:paraId="22AD3711" w14:textId="40A2E3D8" w:rsidR="00515B5B" w:rsidRDefault="1D2114EA" w:rsidP="009978CB">
      <w:pPr>
        <w:keepNext/>
        <w:numPr>
          <w:ilvl w:val="1"/>
          <w:numId w:val="11"/>
        </w:numPr>
        <w:spacing w:after="200" w:line="276" w:lineRule="auto"/>
        <w:ind w:left="567" w:hanging="567"/>
        <w:jc w:val="both"/>
      </w:pPr>
      <w:r>
        <w:t>O</w:t>
      </w:r>
      <w:r w:rsidR="0D1BE199">
        <w:t>xford is a very tightly constrained city and the competing demands on the limited land supply are strong, not least for housing</w:t>
      </w:r>
      <w:r w:rsidR="744D6A1B">
        <w:t xml:space="preserve"> </w:t>
      </w:r>
      <w:r w:rsidR="460B2394">
        <w:t>but also</w:t>
      </w:r>
      <w:r w:rsidR="0D1BE199">
        <w:t xml:space="preserve"> employment </w:t>
      </w:r>
      <w:proofErr w:type="spellStart"/>
      <w:r w:rsidR="0D1BE199">
        <w:t>floorspace</w:t>
      </w:r>
      <w:proofErr w:type="spellEnd"/>
      <w:r w:rsidR="00EF2CB2">
        <w:t>.</w:t>
      </w:r>
      <w:r w:rsidR="4CAD0A31">
        <w:t xml:space="preserve"> The need for employment </w:t>
      </w:r>
      <w:proofErr w:type="spellStart"/>
      <w:r w:rsidR="4CAD0A31">
        <w:t>floorspace</w:t>
      </w:r>
      <w:proofErr w:type="spellEnd"/>
      <w:r w:rsidR="4CAD0A31">
        <w:t xml:space="preserve"> as identified in the plan</w:t>
      </w:r>
      <w:r w:rsidR="0D1BE199">
        <w:t xml:space="preserve"> emphasises the strong need to protect existing employment sites. The pressure on employment sites to be lost to other uses is high, and once lost, they rarely revert to their original use.  Policy E1: Employment Sites sets out the approach to establish a balance whereby the employment sites that are well performing and positively contribute to the city’s economy will be given as much protection from the loss of </w:t>
      </w:r>
      <w:proofErr w:type="spellStart"/>
      <w:r w:rsidR="0D1BE199">
        <w:t>floorspace</w:t>
      </w:r>
      <w:proofErr w:type="spellEnd"/>
      <w:r w:rsidR="0D1BE199">
        <w:t xml:space="preserve"> as possible, without compromising the capacity for the delivery of much needed housing.</w:t>
      </w:r>
      <w:r w:rsidR="506C88C7">
        <w:t xml:space="preserve"> </w:t>
      </w:r>
      <w:r w:rsidR="0D1BE199">
        <w:t xml:space="preserve">There is some flexibility within the policy to allow for potential changes in circumstance, and to ensure the strongest employment base possible, which will sometimes rely on the ability to develop supporting uses. Existing employment sites which are not performing </w:t>
      </w:r>
      <w:r w:rsidR="44F52D5D">
        <w:t>well,</w:t>
      </w:r>
      <w:r w:rsidR="0D1BE199">
        <w:t xml:space="preserve"> or which make inefficient use of land will be encouraged to modernise, to better utilise the space. In some limited circumstances, such sites which will also be considered for alternative uses. </w:t>
      </w:r>
    </w:p>
    <w:p w14:paraId="050D34BB" w14:textId="6A509C29" w:rsidR="0058440A" w:rsidRPr="00A1220F" w:rsidRDefault="65439C45" w:rsidP="009978CB">
      <w:pPr>
        <w:keepNext/>
        <w:numPr>
          <w:ilvl w:val="1"/>
          <w:numId w:val="11"/>
        </w:numPr>
        <w:spacing w:before="240" w:after="200" w:line="276" w:lineRule="auto"/>
        <w:ind w:left="567" w:hanging="567"/>
        <w:jc w:val="both"/>
        <w:rPr>
          <w:rFonts w:eastAsiaTheme="minorEastAsia"/>
        </w:rPr>
      </w:pPr>
      <w:r>
        <w:t xml:space="preserve">As such, Policy E1 sets out a hierarchical approach to employment categories, stating how existing employment sites will be supported to ensure appropriate levels of protection and intensification. The sites range from Category 1 and 2 sites, which are afforded most protection, to Category 3 and B8 uses which have more flexibility and potential to be released from employment uses for other purposes to ensure the best use of land. Oxford’s significant contribution to the local, regional and national economy means that it is important to protect Category 1 and 2 sites, both for their current role in Oxford’s economy and because of their potential for intensification, which would help to meet the demand for new employment space and respond to any future development requirements and technological change.  To measure the effectiveness of the policy, we monitor the relevant permissions resulting in loss or gain of employment </w:t>
      </w:r>
      <w:proofErr w:type="spellStart"/>
      <w:r>
        <w:t>floorspace</w:t>
      </w:r>
      <w:proofErr w:type="spellEnd"/>
      <w:r>
        <w:t xml:space="preserve"> for each category, while recording the alternative use where known.  </w:t>
      </w:r>
    </w:p>
    <w:p w14:paraId="765A89CD" w14:textId="26F91657" w:rsidR="0021487B" w:rsidRPr="002A0ECC" w:rsidRDefault="0021487B" w:rsidP="002A0ECC">
      <w:pPr>
        <w:pStyle w:val="ListParagraph"/>
        <w:ind w:left="0"/>
        <w:rPr>
          <w:rFonts w:asciiTheme="minorHAnsi" w:hAnsiTheme="minorHAnsi" w:cstheme="minorHAnsi"/>
          <w:b/>
          <w:color w:val="000000"/>
          <w:sz w:val="24"/>
          <w:szCs w:val="20"/>
        </w:rPr>
      </w:pPr>
      <w:r w:rsidRPr="002A0ECC">
        <w:rPr>
          <w:rFonts w:asciiTheme="minorHAnsi" w:hAnsiTheme="minorHAnsi" w:cstheme="minorHAnsi"/>
          <w:b/>
          <w:color w:val="000000"/>
          <w:sz w:val="24"/>
          <w:szCs w:val="20"/>
        </w:rPr>
        <w:t xml:space="preserve">Permissions involving net loss of Category 1 and 2 employment </w:t>
      </w:r>
      <w:proofErr w:type="spellStart"/>
      <w:r w:rsidRPr="002A0ECC">
        <w:rPr>
          <w:rFonts w:asciiTheme="minorHAnsi" w:hAnsiTheme="minorHAnsi" w:cstheme="minorHAnsi"/>
          <w:b/>
          <w:color w:val="000000"/>
          <w:sz w:val="24"/>
          <w:szCs w:val="20"/>
        </w:rPr>
        <w:t>floorspace</w:t>
      </w:r>
      <w:proofErr w:type="spellEnd"/>
    </w:p>
    <w:p w14:paraId="6EFE1C28" w14:textId="006B64E0" w:rsidR="00A1220F" w:rsidRPr="00A1220F" w:rsidRDefault="0021487B" w:rsidP="009978CB">
      <w:pPr>
        <w:keepNext/>
        <w:numPr>
          <w:ilvl w:val="1"/>
          <w:numId w:val="11"/>
        </w:numPr>
        <w:spacing w:before="240" w:after="200" w:line="276" w:lineRule="auto"/>
        <w:ind w:left="567" w:hanging="567"/>
        <w:jc w:val="both"/>
        <w:rPr>
          <w:rFonts w:eastAsiaTheme="minorEastAsia"/>
        </w:rPr>
      </w:pPr>
      <w:r>
        <w:t xml:space="preserve">No permissions have been granted during the monitoring period resulting in the net loss of Category 1 and 2 employment </w:t>
      </w:r>
      <w:proofErr w:type="spellStart"/>
      <w:r>
        <w:t>floorspace</w:t>
      </w:r>
      <w:proofErr w:type="spellEnd"/>
      <w:r>
        <w:t>.</w:t>
      </w:r>
    </w:p>
    <w:p w14:paraId="477CA9D9" w14:textId="04FC0F81" w:rsidR="000C055F" w:rsidRPr="002A0ECC" w:rsidRDefault="0058440A" w:rsidP="00F75A5C">
      <w:pPr>
        <w:pStyle w:val="Default"/>
        <w:spacing w:after="240"/>
        <w:rPr>
          <w:rFonts w:asciiTheme="minorHAnsi" w:hAnsiTheme="minorHAnsi" w:cstheme="minorHAnsi"/>
          <w:b/>
          <w:szCs w:val="20"/>
        </w:rPr>
      </w:pPr>
      <w:r w:rsidRPr="002A0ECC">
        <w:rPr>
          <w:rFonts w:asciiTheme="minorHAnsi" w:hAnsiTheme="minorHAnsi" w:cstheme="minorHAnsi"/>
          <w:b/>
          <w:szCs w:val="20"/>
        </w:rPr>
        <w:t xml:space="preserve">Permissions involving net loss of Category 3 and other employment </w:t>
      </w:r>
      <w:proofErr w:type="spellStart"/>
      <w:r w:rsidRPr="002A0ECC">
        <w:rPr>
          <w:rFonts w:asciiTheme="minorHAnsi" w:hAnsiTheme="minorHAnsi" w:cstheme="minorHAnsi"/>
          <w:b/>
          <w:szCs w:val="20"/>
        </w:rPr>
        <w:t>floorspace</w:t>
      </w:r>
      <w:proofErr w:type="spellEnd"/>
    </w:p>
    <w:p w14:paraId="3F057423" w14:textId="7C091F20" w:rsidR="00A1220F" w:rsidRPr="00A1220F" w:rsidRDefault="00A1220F" w:rsidP="009978CB">
      <w:pPr>
        <w:keepNext/>
        <w:numPr>
          <w:ilvl w:val="1"/>
          <w:numId w:val="11"/>
        </w:numPr>
        <w:spacing w:after="200" w:line="276" w:lineRule="auto"/>
        <w:ind w:left="567" w:hanging="567"/>
        <w:jc w:val="both"/>
        <w:rPr>
          <w:rFonts w:eastAsiaTheme="minorEastAsia"/>
        </w:rPr>
      </w:pPr>
      <w:r>
        <w:t>The following permissions involve the loss or change of use of Category 3 and other employment sites.</w:t>
      </w:r>
    </w:p>
    <w:tbl>
      <w:tblPr>
        <w:tblStyle w:val="TableGrid"/>
        <w:tblW w:w="7346" w:type="dxa"/>
        <w:jc w:val="center"/>
        <w:tblLook w:val="04A0" w:firstRow="1" w:lastRow="0" w:firstColumn="1" w:lastColumn="0" w:noHBand="0" w:noVBand="1"/>
      </w:tblPr>
      <w:tblGrid>
        <w:gridCol w:w="1268"/>
        <w:gridCol w:w="1270"/>
        <w:gridCol w:w="2268"/>
        <w:gridCol w:w="1270"/>
        <w:gridCol w:w="1270"/>
      </w:tblGrid>
      <w:tr w:rsidR="0058440A" w:rsidRPr="0094080C" w14:paraId="0F9D0B58" w14:textId="77777777" w:rsidTr="00AF3791">
        <w:trPr>
          <w:jc w:val="center"/>
        </w:trPr>
        <w:tc>
          <w:tcPr>
            <w:tcW w:w="1268" w:type="dxa"/>
            <w:shd w:val="clear" w:color="auto" w:fill="E7E6E6" w:themeFill="background2"/>
          </w:tcPr>
          <w:p w14:paraId="0169F07A" w14:textId="77777777" w:rsidR="0058440A" w:rsidRPr="0094080C" w:rsidRDefault="0058440A" w:rsidP="00EB3687">
            <w:pPr>
              <w:jc w:val="center"/>
              <w:rPr>
                <w:rFonts w:eastAsia="Times New Roman"/>
                <w:b/>
                <w:bCs/>
                <w:color w:val="000000"/>
                <w:sz w:val="18"/>
                <w:szCs w:val="18"/>
                <w:lang w:eastAsia="en-GB"/>
              </w:rPr>
            </w:pPr>
            <w:r w:rsidRPr="0094080C">
              <w:rPr>
                <w:rFonts w:eastAsia="Times New Roman"/>
                <w:b/>
                <w:bCs/>
                <w:color w:val="000000"/>
                <w:sz w:val="18"/>
                <w:szCs w:val="18"/>
                <w:lang w:eastAsia="en-GB"/>
              </w:rPr>
              <w:t>App</w:t>
            </w:r>
            <w:r>
              <w:rPr>
                <w:rFonts w:eastAsia="Times New Roman"/>
                <w:b/>
                <w:bCs/>
                <w:color w:val="000000"/>
                <w:sz w:val="18"/>
                <w:szCs w:val="18"/>
                <w:lang w:eastAsia="en-GB"/>
              </w:rPr>
              <w:t>lication</w:t>
            </w:r>
            <w:r w:rsidRPr="0094080C">
              <w:rPr>
                <w:rFonts w:eastAsia="Times New Roman"/>
                <w:b/>
                <w:bCs/>
                <w:color w:val="000000"/>
                <w:sz w:val="18"/>
                <w:szCs w:val="18"/>
                <w:lang w:eastAsia="en-GB"/>
              </w:rPr>
              <w:t xml:space="preserve"> ref</w:t>
            </w:r>
            <w:r>
              <w:rPr>
                <w:rFonts w:eastAsia="Times New Roman"/>
                <w:b/>
                <w:bCs/>
                <w:color w:val="000000"/>
                <w:sz w:val="18"/>
                <w:szCs w:val="18"/>
                <w:lang w:eastAsia="en-GB"/>
              </w:rPr>
              <w:t>erence</w:t>
            </w:r>
          </w:p>
        </w:tc>
        <w:tc>
          <w:tcPr>
            <w:tcW w:w="1270" w:type="dxa"/>
            <w:shd w:val="clear" w:color="auto" w:fill="E7E6E6" w:themeFill="background2"/>
          </w:tcPr>
          <w:p w14:paraId="583B1817" w14:textId="77777777" w:rsidR="0058440A" w:rsidRPr="0094080C" w:rsidRDefault="0058440A" w:rsidP="00EB3687">
            <w:pPr>
              <w:jc w:val="center"/>
              <w:rPr>
                <w:rFonts w:eastAsia="Times New Roman"/>
                <w:b/>
                <w:bCs/>
                <w:color w:val="000000"/>
                <w:sz w:val="18"/>
                <w:szCs w:val="18"/>
                <w:lang w:eastAsia="en-GB"/>
              </w:rPr>
            </w:pPr>
            <w:r w:rsidRPr="0094080C">
              <w:rPr>
                <w:rFonts w:eastAsia="Times New Roman"/>
                <w:b/>
                <w:bCs/>
                <w:color w:val="000000"/>
                <w:sz w:val="18"/>
                <w:szCs w:val="18"/>
                <w:lang w:eastAsia="en-GB"/>
              </w:rPr>
              <w:t>Site location</w:t>
            </w:r>
          </w:p>
        </w:tc>
        <w:tc>
          <w:tcPr>
            <w:tcW w:w="2268" w:type="dxa"/>
            <w:shd w:val="clear" w:color="auto" w:fill="E7E6E6" w:themeFill="background2"/>
          </w:tcPr>
          <w:p w14:paraId="6E1804CB" w14:textId="77777777" w:rsidR="0058440A" w:rsidRPr="0094080C" w:rsidRDefault="0058440A" w:rsidP="00EB3687">
            <w:pPr>
              <w:jc w:val="center"/>
              <w:rPr>
                <w:rFonts w:eastAsia="Times New Roman"/>
                <w:b/>
                <w:bCs/>
                <w:color w:val="000000"/>
                <w:sz w:val="18"/>
                <w:szCs w:val="18"/>
                <w:lang w:eastAsia="en-GB"/>
              </w:rPr>
            </w:pPr>
            <w:r w:rsidRPr="0094080C">
              <w:rPr>
                <w:rFonts w:eastAsia="Times New Roman"/>
                <w:b/>
                <w:bCs/>
                <w:color w:val="000000"/>
                <w:sz w:val="18"/>
                <w:szCs w:val="18"/>
                <w:lang w:eastAsia="en-GB"/>
              </w:rPr>
              <w:t>Development summary</w:t>
            </w:r>
          </w:p>
        </w:tc>
        <w:tc>
          <w:tcPr>
            <w:tcW w:w="1270" w:type="dxa"/>
            <w:shd w:val="clear" w:color="auto" w:fill="E7E6E6" w:themeFill="background2"/>
          </w:tcPr>
          <w:p w14:paraId="2A7CCE44" w14:textId="77777777" w:rsidR="0058440A" w:rsidRPr="0094080C" w:rsidRDefault="0058440A" w:rsidP="00EB3687">
            <w:pPr>
              <w:jc w:val="center"/>
              <w:rPr>
                <w:rFonts w:eastAsia="Times New Roman"/>
                <w:b/>
                <w:bCs/>
                <w:color w:val="000000"/>
                <w:sz w:val="18"/>
                <w:szCs w:val="18"/>
                <w:lang w:eastAsia="en-GB"/>
              </w:rPr>
            </w:pPr>
            <w:r w:rsidRPr="0094080C">
              <w:rPr>
                <w:rFonts w:eastAsia="Times New Roman"/>
                <w:b/>
                <w:bCs/>
                <w:color w:val="000000"/>
                <w:sz w:val="18"/>
                <w:szCs w:val="18"/>
                <w:lang w:eastAsia="en-GB"/>
              </w:rPr>
              <w:t xml:space="preserve">Net loss of office/other employment </w:t>
            </w:r>
            <w:proofErr w:type="spellStart"/>
            <w:r w:rsidRPr="0094080C">
              <w:rPr>
                <w:rFonts w:eastAsia="Times New Roman"/>
                <w:b/>
                <w:bCs/>
                <w:color w:val="000000"/>
                <w:sz w:val="18"/>
                <w:szCs w:val="18"/>
                <w:lang w:eastAsia="en-GB"/>
              </w:rPr>
              <w:t>floorspace</w:t>
            </w:r>
            <w:proofErr w:type="spellEnd"/>
            <w:r w:rsidRPr="0094080C">
              <w:rPr>
                <w:rFonts w:eastAsia="Times New Roman"/>
                <w:b/>
                <w:bCs/>
                <w:color w:val="000000"/>
                <w:sz w:val="18"/>
                <w:szCs w:val="18"/>
                <w:lang w:eastAsia="en-GB"/>
              </w:rPr>
              <w:t xml:space="preserve"> (</w:t>
            </w:r>
            <w:proofErr w:type="spellStart"/>
            <w:r w:rsidRPr="0094080C">
              <w:rPr>
                <w:rFonts w:eastAsia="Times New Roman"/>
                <w:b/>
                <w:bCs/>
                <w:color w:val="000000"/>
                <w:sz w:val="18"/>
                <w:szCs w:val="18"/>
                <w:lang w:eastAsia="en-GB"/>
              </w:rPr>
              <w:t>sqm</w:t>
            </w:r>
            <w:proofErr w:type="spellEnd"/>
            <w:r w:rsidRPr="0094080C">
              <w:rPr>
                <w:rFonts w:eastAsia="Times New Roman"/>
                <w:b/>
                <w:bCs/>
                <w:color w:val="000000"/>
                <w:sz w:val="18"/>
                <w:szCs w:val="18"/>
                <w:lang w:eastAsia="en-GB"/>
              </w:rPr>
              <w:t>)</w:t>
            </w:r>
          </w:p>
        </w:tc>
        <w:tc>
          <w:tcPr>
            <w:tcW w:w="1270" w:type="dxa"/>
            <w:shd w:val="clear" w:color="auto" w:fill="E7E6E6" w:themeFill="background2"/>
          </w:tcPr>
          <w:p w14:paraId="1101DD8C" w14:textId="77777777" w:rsidR="0058440A" w:rsidRPr="0094080C" w:rsidRDefault="0058440A" w:rsidP="00EB3687">
            <w:pPr>
              <w:jc w:val="center"/>
              <w:rPr>
                <w:rFonts w:eastAsia="Times New Roman"/>
                <w:b/>
                <w:bCs/>
                <w:color w:val="000000"/>
                <w:sz w:val="18"/>
                <w:szCs w:val="18"/>
                <w:lang w:eastAsia="en-GB"/>
              </w:rPr>
            </w:pPr>
            <w:r w:rsidRPr="0094080C">
              <w:rPr>
                <w:rFonts w:eastAsia="Times New Roman"/>
                <w:b/>
                <w:bCs/>
                <w:color w:val="000000"/>
                <w:sz w:val="18"/>
                <w:szCs w:val="18"/>
                <w:lang w:eastAsia="en-GB"/>
              </w:rPr>
              <w:t>Summary of alternative use</w:t>
            </w:r>
          </w:p>
        </w:tc>
      </w:tr>
      <w:tr w:rsidR="0058440A" w:rsidRPr="0094080C" w14:paraId="216F78E3" w14:textId="77777777" w:rsidTr="00AF3791">
        <w:trPr>
          <w:jc w:val="center"/>
        </w:trPr>
        <w:tc>
          <w:tcPr>
            <w:tcW w:w="1268" w:type="dxa"/>
          </w:tcPr>
          <w:p w14:paraId="16C8ED63" w14:textId="77777777" w:rsidR="0058440A" w:rsidRPr="0094080C" w:rsidRDefault="0058440A" w:rsidP="00EB3687">
            <w:pPr>
              <w:jc w:val="center"/>
              <w:rPr>
                <w:rFonts w:cstheme="minorHAnsi"/>
                <w:sz w:val="18"/>
                <w:szCs w:val="18"/>
              </w:rPr>
            </w:pPr>
            <w:r w:rsidRPr="0094080C">
              <w:rPr>
                <w:rStyle w:val="casenumber"/>
                <w:rFonts w:cstheme="minorHAnsi"/>
                <w:color w:val="333333"/>
                <w:sz w:val="18"/>
                <w:szCs w:val="18"/>
                <w:shd w:val="clear" w:color="auto" w:fill="FFFFFF"/>
              </w:rPr>
              <w:t>20/03172/FUL</w:t>
            </w:r>
          </w:p>
        </w:tc>
        <w:tc>
          <w:tcPr>
            <w:tcW w:w="1270" w:type="dxa"/>
          </w:tcPr>
          <w:p w14:paraId="3547AE35" w14:textId="77777777" w:rsidR="0058440A" w:rsidRPr="0094080C" w:rsidRDefault="0058440A" w:rsidP="00EB3687">
            <w:pPr>
              <w:jc w:val="center"/>
              <w:rPr>
                <w:rFonts w:cstheme="minorHAnsi"/>
                <w:sz w:val="18"/>
                <w:szCs w:val="18"/>
              </w:rPr>
            </w:pPr>
            <w:r w:rsidRPr="0094080C">
              <w:rPr>
                <w:rStyle w:val="address"/>
                <w:rFonts w:cstheme="minorHAnsi"/>
                <w:color w:val="333333"/>
                <w:sz w:val="18"/>
                <w:szCs w:val="18"/>
                <w:shd w:val="clear" w:color="auto" w:fill="FFFFFF"/>
              </w:rPr>
              <w:t>Suite B 8 South Parade Oxford OX2 7JL</w:t>
            </w:r>
          </w:p>
        </w:tc>
        <w:tc>
          <w:tcPr>
            <w:tcW w:w="2268" w:type="dxa"/>
          </w:tcPr>
          <w:p w14:paraId="19F2E66C" w14:textId="1AB68982" w:rsidR="0058440A" w:rsidRPr="0094080C" w:rsidRDefault="0058440A" w:rsidP="00EB3687">
            <w:pPr>
              <w:jc w:val="center"/>
              <w:rPr>
                <w:rFonts w:cstheme="minorHAnsi"/>
                <w:sz w:val="18"/>
                <w:szCs w:val="18"/>
              </w:rPr>
            </w:pPr>
            <w:r w:rsidRPr="0094080C">
              <w:rPr>
                <w:rStyle w:val="description"/>
                <w:rFonts w:cstheme="minorHAnsi"/>
                <w:color w:val="333333"/>
                <w:sz w:val="18"/>
                <w:szCs w:val="18"/>
                <w:shd w:val="clear" w:color="auto" w:fill="FFFFFF"/>
              </w:rPr>
              <w:t xml:space="preserve">Change of use from Offices (Use Class </w:t>
            </w:r>
            <w:proofErr w:type="gramStart"/>
            <w:r w:rsidRPr="0094080C">
              <w:rPr>
                <w:rStyle w:val="description"/>
                <w:rFonts w:cstheme="minorHAnsi"/>
                <w:color w:val="333333"/>
                <w:sz w:val="18"/>
                <w:szCs w:val="18"/>
                <w:shd w:val="clear" w:color="auto" w:fill="FFFFFF"/>
              </w:rPr>
              <w:t>E(</w:t>
            </w:r>
            <w:proofErr w:type="gramEnd"/>
            <w:r w:rsidRPr="0094080C">
              <w:rPr>
                <w:rStyle w:val="description"/>
                <w:rFonts w:cstheme="minorHAnsi"/>
                <w:color w:val="333333"/>
                <w:sz w:val="18"/>
                <w:szCs w:val="18"/>
                <w:shd w:val="clear" w:color="auto" w:fill="FFFFFF"/>
              </w:rPr>
              <w:t>g)(</w:t>
            </w:r>
            <w:proofErr w:type="spellStart"/>
            <w:r w:rsidRPr="0094080C">
              <w:rPr>
                <w:rStyle w:val="description"/>
                <w:rFonts w:cstheme="minorHAnsi"/>
                <w:color w:val="333333"/>
                <w:sz w:val="18"/>
                <w:szCs w:val="18"/>
                <w:shd w:val="clear" w:color="auto" w:fill="FFFFFF"/>
              </w:rPr>
              <w:t>i</w:t>
            </w:r>
            <w:proofErr w:type="spellEnd"/>
            <w:r w:rsidRPr="0094080C">
              <w:rPr>
                <w:rStyle w:val="description"/>
                <w:rFonts w:cstheme="minorHAnsi"/>
                <w:color w:val="333333"/>
                <w:sz w:val="18"/>
                <w:szCs w:val="18"/>
                <w:shd w:val="clear" w:color="auto" w:fill="FFFFFF"/>
              </w:rPr>
              <w:t>)) to provision of education (Use Class F1(a)).</w:t>
            </w:r>
          </w:p>
        </w:tc>
        <w:tc>
          <w:tcPr>
            <w:tcW w:w="1270" w:type="dxa"/>
          </w:tcPr>
          <w:p w14:paraId="167E756F" w14:textId="77777777" w:rsidR="0058440A" w:rsidRPr="0094080C" w:rsidRDefault="0058440A" w:rsidP="00EB3687">
            <w:pPr>
              <w:jc w:val="center"/>
              <w:rPr>
                <w:rFonts w:cstheme="minorHAnsi"/>
                <w:sz w:val="18"/>
                <w:szCs w:val="18"/>
              </w:rPr>
            </w:pPr>
            <w:r w:rsidRPr="0094080C">
              <w:rPr>
                <w:rFonts w:cstheme="minorHAnsi"/>
                <w:sz w:val="18"/>
                <w:szCs w:val="18"/>
              </w:rPr>
              <w:t>-200</w:t>
            </w:r>
          </w:p>
        </w:tc>
        <w:tc>
          <w:tcPr>
            <w:tcW w:w="1270" w:type="dxa"/>
          </w:tcPr>
          <w:p w14:paraId="0C6BDFA5" w14:textId="77777777" w:rsidR="0058440A" w:rsidRPr="0094080C" w:rsidRDefault="0058440A" w:rsidP="00EB3687">
            <w:pPr>
              <w:jc w:val="center"/>
              <w:rPr>
                <w:rFonts w:cstheme="minorHAnsi"/>
                <w:sz w:val="18"/>
                <w:szCs w:val="18"/>
              </w:rPr>
            </w:pPr>
            <w:r w:rsidRPr="0094080C">
              <w:rPr>
                <w:rFonts w:cstheme="minorHAnsi"/>
                <w:sz w:val="18"/>
                <w:szCs w:val="18"/>
              </w:rPr>
              <w:t>Education</w:t>
            </w:r>
          </w:p>
        </w:tc>
      </w:tr>
      <w:tr w:rsidR="0058440A" w:rsidRPr="0094080C" w14:paraId="7CF3AB64" w14:textId="77777777" w:rsidTr="00AF3791">
        <w:trPr>
          <w:jc w:val="center"/>
        </w:trPr>
        <w:tc>
          <w:tcPr>
            <w:tcW w:w="1268" w:type="dxa"/>
          </w:tcPr>
          <w:p w14:paraId="4C7D5BEE" w14:textId="77777777" w:rsidR="0058440A" w:rsidRPr="0094080C" w:rsidRDefault="0058440A" w:rsidP="00EB3687">
            <w:pPr>
              <w:jc w:val="center"/>
              <w:rPr>
                <w:sz w:val="18"/>
                <w:szCs w:val="18"/>
              </w:rPr>
            </w:pPr>
            <w:r w:rsidRPr="0094080C">
              <w:rPr>
                <w:rStyle w:val="casenumber"/>
                <w:rFonts w:cstheme="minorHAnsi"/>
                <w:color w:val="333333"/>
                <w:sz w:val="18"/>
                <w:szCs w:val="18"/>
                <w:shd w:val="clear" w:color="auto" w:fill="FFFFFF"/>
              </w:rPr>
              <w:lastRenderedPageBreak/>
              <w:t>20/03159/FUL</w:t>
            </w:r>
          </w:p>
        </w:tc>
        <w:tc>
          <w:tcPr>
            <w:tcW w:w="1270" w:type="dxa"/>
          </w:tcPr>
          <w:p w14:paraId="003C8D89" w14:textId="77777777" w:rsidR="0058440A" w:rsidRPr="0094080C" w:rsidRDefault="0058440A" w:rsidP="00EB3687">
            <w:pPr>
              <w:jc w:val="center"/>
              <w:rPr>
                <w:sz w:val="18"/>
                <w:szCs w:val="18"/>
              </w:rPr>
            </w:pPr>
            <w:proofErr w:type="spellStart"/>
            <w:r w:rsidRPr="0094080C">
              <w:rPr>
                <w:rStyle w:val="address"/>
                <w:rFonts w:cstheme="minorHAnsi"/>
                <w:color w:val="333333"/>
                <w:sz w:val="18"/>
                <w:szCs w:val="18"/>
                <w:shd w:val="clear" w:color="auto" w:fill="FFFFFF"/>
              </w:rPr>
              <w:t>Kingsmead</w:t>
            </w:r>
            <w:proofErr w:type="spellEnd"/>
            <w:r w:rsidRPr="0094080C">
              <w:rPr>
                <w:rStyle w:val="address"/>
                <w:rFonts w:cstheme="minorHAnsi"/>
                <w:color w:val="333333"/>
                <w:sz w:val="18"/>
                <w:szCs w:val="18"/>
                <w:shd w:val="clear" w:color="auto" w:fill="FFFFFF"/>
              </w:rPr>
              <w:t xml:space="preserve"> House </w:t>
            </w:r>
            <w:proofErr w:type="spellStart"/>
            <w:r w:rsidRPr="0094080C">
              <w:rPr>
                <w:rStyle w:val="address"/>
                <w:rFonts w:cstheme="minorHAnsi"/>
                <w:color w:val="333333"/>
                <w:sz w:val="18"/>
                <w:szCs w:val="18"/>
                <w:shd w:val="clear" w:color="auto" w:fill="FFFFFF"/>
              </w:rPr>
              <w:t>Oxpens</w:t>
            </w:r>
            <w:proofErr w:type="spellEnd"/>
            <w:r w:rsidRPr="0094080C">
              <w:rPr>
                <w:rStyle w:val="address"/>
                <w:rFonts w:cstheme="minorHAnsi"/>
                <w:color w:val="333333"/>
                <w:sz w:val="18"/>
                <w:szCs w:val="18"/>
                <w:shd w:val="clear" w:color="auto" w:fill="FFFFFF"/>
              </w:rPr>
              <w:t xml:space="preserve"> Road Oxford Oxfordshire OX1 1RX</w:t>
            </w:r>
          </w:p>
        </w:tc>
        <w:tc>
          <w:tcPr>
            <w:tcW w:w="2268" w:type="dxa"/>
          </w:tcPr>
          <w:p w14:paraId="2E0E6C9B" w14:textId="67C607A2" w:rsidR="0058440A" w:rsidRPr="0094080C" w:rsidRDefault="0058440A" w:rsidP="00EB3687">
            <w:pPr>
              <w:jc w:val="center"/>
              <w:rPr>
                <w:sz w:val="18"/>
                <w:szCs w:val="18"/>
              </w:rPr>
            </w:pPr>
            <w:r w:rsidRPr="0094080C">
              <w:rPr>
                <w:rStyle w:val="description"/>
                <w:rFonts w:cstheme="minorHAnsi"/>
                <w:color w:val="333333"/>
                <w:sz w:val="18"/>
                <w:szCs w:val="18"/>
                <w:shd w:val="clear" w:color="auto" w:fill="FFFFFF"/>
              </w:rPr>
              <w:t xml:space="preserve">Change of use of first floor office (Use Class </w:t>
            </w:r>
            <w:proofErr w:type="gramStart"/>
            <w:r w:rsidRPr="0094080C">
              <w:rPr>
                <w:rStyle w:val="description"/>
                <w:rFonts w:cstheme="minorHAnsi"/>
                <w:color w:val="333333"/>
                <w:sz w:val="18"/>
                <w:szCs w:val="18"/>
                <w:shd w:val="clear" w:color="auto" w:fill="FFFFFF"/>
              </w:rPr>
              <w:t>E(</w:t>
            </w:r>
            <w:proofErr w:type="gramEnd"/>
            <w:r w:rsidRPr="0094080C">
              <w:rPr>
                <w:rStyle w:val="description"/>
                <w:rFonts w:cstheme="minorHAnsi"/>
                <w:color w:val="333333"/>
                <w:sz w:val="18"/>
                <w:szCs w:val="18"/>
                <w:shd w:val="clear" w:color="auto" w:fill="FFFFFF"/>
              </w:rPr>
              <w:t>g)(</w:t>
            </w:r>
            <w:proofErr w:type="spellStart"/>
            <w:r w:rsidRPr="0094080C">
              <w:rPr>
                <w:rStyle w:val="description"/>
                <w:rFonts w:cstheme="minorHAnsi"/>
                <w:color w:val="333333"/>
                <w:sz w:val="18"/>
                <w:szCs w:val="18"/>
                <w:shd w:val="clear" w:color="auto" w:fill="FFFFFF"/>
              </w:rPr>
              <w:t>i</w:t>
            </w:r>
            <w:proofErr w:type="spellEnd"/>
            <w:r w:rsidRPr="0094080C">
              <w:rPr>
                <w:rStyle w:val="description"/>
                <w:rFonts w:cstheme="minorHAnsi"/>
                <w:color w:val="333333"/>
                <w:sz w:val="18"/>
                <w:szCs w:val="18"/>
                <w:shd w:val="clear" w:color="auto" w:fill="FFFFFF"/>
              </w:rPr>
              <w:t>)) to a Business College (Use Class F1(a)).</w:t>
            </w:r>
          </w:p>
        </w:tc>
        <w:tc>
          <w:tcPr>
            <w:tcW w:w="1270" w:type="dxa"/>
          </w:tcPr>
          <w:p w14:paraId="7A6933BF" w14:textId="77777777" w:rsidR="0058440A" w:rsidRPr="0094080C" w:rsidRDefault="0058440A" w:rsidP="00EB3687">
            <w:pPr>
              <w:jc w:val="center"/>
              <w:rPr>
                <w:sz w:val="18"/>
                <w:szCs w:val="18"/>
              </w:rPr>
            </w:pPr>
            <w:r w:rsidRPr="0094080C">
              <w:rPr>
                <w:sz w:val="18"/>
                <w:szCs w:val="18"/>
              </w:rPr>
              <w:t>-1523</w:t>
            </w:r>
          </w:p>
        </w:tc>
        <w:tc>
          <w:tcPr>
            <w:tcW w:w="1270" w:type="dxa"/>
          </w:tcPr>
          <w:p w14:paraId="30F332E1" w14:textId="77777777" w:rsidR="0058440A" w:rsidRPr="0094080C" w:rsidRDefault="0058440A" w:rsidP="00EB3687">
            <w:pPr>
              <w:jc w:val="center"/>
              <w:rPr>
                <w:sz w:val="18"/>
                <w:szCs w:val="18"/>
              </w:rPr>
            </w:pPr>
            <w:r w:rsidRPr="0094080C">
              <w:rPr>
                <w:sz w:val="18"/>
                <w:szCs w:val="18"/>
              </w:rPr>
              <w:t>Education</w:t>
            </w:r>
          </w:p>
        </w:tc>
      </w:tr>
      <w:tr w:rsidR="0058440A" w:rsidRPr="0094080C" w14:paraId="7FAF06F1" w14:textId="77777777" w:rsidTr="00AF3791">
        <w:trPr>
          <w:jc w:val="center"/>
        </w:trPr>
        <w:tc>
          <w:tcPr>
            <w:tcW w:w="1268" w:type="dxa"/>
          </w:tcPr>
          <w:p w14:paraId="2B030A60" w14:textId="331FAFAA" w:rsidR="0058440A" w:rsidRPr="0094080C" w:rsidRDefault="0058440A" w:rsidP="00EB3687">
            <w:pPr>
              <w:jc w:val="center"/>
              <w:rPr>
                <w:rStyle w:val="casenumber"/>
                <w:rFonts w:cstheme="minorHAnsi"/>
                <w:color w:val="333333"/>
                <w:sz w:val="18"/>
                <w:szCs w:val="18"/>
                <w:shd w:val="clear" w:color="auto" w:fill="FFFFFF"/>
              </w:rPr>
            </w:pPr>
            <w:r w:rsidRPr="0094080C">
              <w:rPr>
                <w:rStyle w:val="casenumber"/>
                <w:rFonts w:cstheme="minorHAnsi"/>
                <w:color w:val="333333"/>
                <w:sz w:val="18"/>
                <w:szCs w:val="18"/>
                <w:shd w:val="clear" w:color="auto" w:fill="FFFFFF"/>
              </w:rPr>
              <w:t>20/01808/FUL</w:t>
            </w:r>
          </w:p>
        </w:tc>
        <w:tc>
          <w:tcPr>
            <w:tcW w:w="1270" w:type="dxa"/>
          </w:tcPr>
          <w:p w14:paraId="2EB1BFD8" w14:textId="77777777" w:rsidR="0058440A" w:rsidRPr="0094080C" w:rsidRDefault="0058440A" w:rsidP="00EB3687">
            <w:pPr>
              <w:jc w:val="center"/>
              <w:rPr>
                <w:rStyle w:val="address"/>
                <w:rFonts w:cstheme="minorHAnsi"/>
                <w:color w:val="333333"/>
                <w:sz w:val="18"/>
                <w:szCs w:val="18"/>
                <w:shd w:val="clear" w:color="auto" w:fill="FFFFFF"/>
              </w:rPr>
            </w:pPr>
            <w:r w:rsidRPr="0094080C">
              <w:rPr>
                <w:rStyle w:val="address"/>
                <w:rFonts w:cstheme="minorHAnsi"/>
                <w:color w:val="333333"/>
                <w:sz w:val="18"/>
                <w:szCs w:val="18"/>
                <w:shd w:val="clear" w:color="auto" w:fill="FFFFFF"/>
              </w:rPr>
              <w:t xml:space="preserve">156 Oxford Road </w:t>
            </w:r>
            <w:proofErr w:type="spellStart"/>
            <w:r w:rsidRPr="0094080C">
              <w:rPr>
                <w:rStyle w:val="address"/>
                <w:rFonts w:cstheme="minorHAnsi"/>
                <w:color w:val="333333"/>
                <w:sz w:val="18"/>
                <w:szCs w:val="18"/>
                <w:shd w:val="clear" w:color="auto" w:fill="FFFFFF"/>
              </w:rPr>
              <w:t>Cowley</w:t>
            </w:r>
            <w:proofErr w:type="spellEnd"/>
            <w:r w:rsidRPr="0094080C">
              <w:rPr>
                <w:rStyle w:val="address"/>
                <w:rFonts w:cstheme="minorHAnsi"/>
                <w:color w:val="333333"/>
                <w:sz w:val="18"/>
                <w:szCs w:val="18"/>
                <w:shd w:val="clear" w:color="auto" w:fill="FFFFFF"/>
              </w:rPr>
              <w:t xml:space="preserve"> Oxford OX4 2LA</w:t>
            </w:r>
          </w:p>
        </w:tc>
        <w:tc>
          <w:tcPr>
            <w:tcW w:w="2268" w:type="dxa"/>
          </w:tcPr>
          <w:p w14:paraId="7419996F" w14:textId="77777777" w:rsidR="0058440A" w:rsidRPr="0094080C" w:rsidRDefault="0058440A" w:rsidP="00EB3687">
            <w:pPr>
              <w:jc w:val="center"/>
              <w:rPr>
                <w:rFonts w:cstheme="minorHAnsi"/>
                <w:color w:val="333333"/>
                <w:sz w:val="18"/>
                <w:szCs w:val="18"/>
                <w:shd w:val="clear" w:color="auto" w:fill="FFFFFF"/>
              </w:rPr>
            </w:pPr>
            <w:r w:rsidRPr="0094080C">
              <w:rPr>
                <w:rStyle w:val="description"/>
                <w:rFonts w:cstheme="minorHAnsi"/>
                <w:color w:val="333333"/>
                <w:sz w:val="18"/>
                <w:szCs w:val="18"/>
                <w:shd w:val="clear" w:color="auto" w:fill="FFFFFF"/>
              </w:rPr>
              <w:t>Extension and refurbishment of existing building to create 4 x 1-bed flats (Use Class C3) and 5no. Offices (Use Class B1). Provision of parking, bin and cycle stores.</w:t>
            </w:r>
          </w:p>
        </w:tc>
        <w:tc>
          <w:tcPr>
            <w:tcW w:w="1270" w:type="dxa"/>
          </w:tcPr>
          <w:p w14:paraId="15201A9B" w14:textId="77777777" w:rsidR="0058440A" w:rsidRPr="0094080C" w:rsidRDefault="0058440A" w:rsidP="00EB3687">
            <w:pPr>
              <w:jc w:val="center"/>
              <w:rPr>
                <w:sz w:val="18"/>
                <w:szCs w:val="18"/>
              </w:rPr>
            </w:pPr>
            <w:r w:rsidRPr="0094080C">
              <w:rPr>
                <w:sz w:val="18"/>
                <w:szCs w:val="18"/>
              </w:rPr>
              <w:t>-75</w:t>
            </w:r>
          </w:p>
        </w:tc>
        <w:tc>
          <w:tcPr>
            <w:tcW w:w="1270" w:type="dxa"/>
          </w:tcPr>
          <w:p w14:paraId="0BA979B7" w14:textId="77777777" w:rsidR="0058440A" w:rsidRPr="0094080C" w:rsidRDefault="0058440A" w:rsidP="00EB3687">
            <w:pPr>
              <w:jc w:val="center"/>
              <w:rPr>
                <w:sz w:val="18"/>
                <w:szCs w:val="18"/>
              </w:rPr>
            </w:pPr>
            <w:r w:rsidRPr="0094080C">
              <w:rPr>
                <w:sz w:val="18"/>
                <w:szCs w:val="18"/>
              </w:rPr>
              <w:t>Residential</w:t>
            </w:r>
          </w:p>
        </w:tc>
      </w:tr>
      <w:tr w:rsidR="0058440A" w:rsidRPr="0094080C" w14:paraId="2606AEAE" w14:textId="77777777" w:rsidTr="00AF3791">
        <w:trPr>
          <w:jc w:val="center"/>
        </w:trPr>
        <w:tc>
          <w:tcPr>
            <w:tcW w:w="1268" w:type="dxa"/>
          </w:tcPr>
          <w:p w14:paraId="78AA44DB" w14:textId="77777777" w:rsidR="0058440A" w:rsidRPr="0094080C" w:rsidRDefault="0058440A" w:rsidP="00EB3687">
            <w:pPr>
              <w:jc w:val="center"/>
              <w:rPr>
                <w:rStyle w:val="casenumber"/>
                <w:rFonts w:cstheme="minorHAnsi"/>
                <w:color w:val="333333"/>
                <w:sz w:val="18"/>
                <w:szCs w:val="18"/>
                <w:shd w:val="clear" w:color="auto" w:fill="FFFFFF"/>
              </w:rPr>
            </w:pPr>
            <w:r w:rsidRPr="0094080C">
              <w:rPr>
                <w:rStyle w:val="casenumber"/>
                <w:rFonts w:cstheme="minorHAnsi"/>
                <w:color w:val="333333"/>
                <w:sz w:val="18"/>
                <w:szCs w:val="18"/>
                <w:shd w:val="clear" w:color="auto" w:fill="FFFFFF"/>
              </w:rPr>
              <w:t>20/01085/FUL</w:t>
            </w:r>
          </w:p>
        </w:tc>
        <w:tc>
          <w:tcPr>
            <w:tcW w:w="1270" w:type="dxa"/>
          </w:tcPr>
          <w:p w14:paraId="372088C2" w14:textId="77777777" w:rsidR="0058440A" w:rsidRPr="0094080C" w:rsidRDefault="0058440A" w:rsidP="00EB3687">
            <w:pPr>
              <w:jc w:val="center"/>
              <w:rPr>
                <w:rStyle w:val="address"/>
                <w:rFonts w:cstheme="minorHAnsi"/>
                <w:color w:val="333333"/>
                <w:sz w:val="18"/>
                <w:szCs w:val="18"/>
                <w:shd w:val="clear" w:color="auto" w:fill="FFFFFF"/>
              </w:rPr>
            </w:pPr>
            <w:r w:rsidRPr="0094080C">
              <w:rPr>
                <w:rStyle w:val="address"/>
                <w:rFonts w:cstheme="minorHAnsi"/>
                <w:color w:val="333333"/>
                <w:sz w:val="18"/>
                <w:szCs w:val="18"/>
                <w:shd w:val="clear" w:color="auto" w:fill="FFFFFF"/>
              </w:rPr>
              <w:t xml:space="preserve">33 </w:t>
            </w:r>
            <w:proofErr w:type="spellStart"/>
            <w:r w:rsidRPr="0094080C">
              <w:rPr>
                <w:rStyle w:val="address"/>
                <w:rFonts w:cstheme="minorHAnsi"/>
                <w:color w:val="333333"/>
                <w:sz w:val="18"/>
                <w:szCs w:val="18"/>
                <w:shd w:val="clear" w:color="auto" w:fill="FFFFFF"/>
              </w:rPr>
              <w:t>Iffley</w:t>
            </w:r>
            <w:proofErr w:type="spellEnd"/>
            <w:r w:rsidRPr="0094080C">
              <w:rPr>
                <w:rStyle w:val="address"/>
                <w:rFonts w:cstheme="minorHAnsi"/>
                <w:color w:val="333333"/>
                <w:sz w:val="18"/>
                <w:szCs w:val="18"/>
                <w:shd w:val="clear" w:color="auto" w:fill="FFFFFF"/>
              </w:rPr>
              <w:t xml:space="preserve"> Road Oxford OX4 1EA</w:t>
            </w:r>
          </w:p>
        </w:tc>
        <w:tc>
          <w:tcPr>
            <w:tcW w:w="2268" w:type="dxa"/>
          </w:tcPr>
          <w:p w14:paraId="762B5669" w14:textId="61A2D01E" w:rsidR="0058440A" w:rsidRPr="0094080C" w:rsidRDefault="0058440A" w:rsidP="00EB3687">
            <w:pPr>
              <w:jc w:val="center"/>
              <w:rPr>
                <w:rStyle w:val="description"/>
                <w:rFonts w:cstheme="minorHAnsi"/>
                <w:color w:val="333333"/>
                <w:sz w:val="18"/>
                <w:szCs w:val="18"/>
                <w:shd w:val="clear" w:color="auto" w:fill="FFFFFF"/>
              </w:rPr>
            </w:pPr>
            <w:r w:rsidRPr="0094080C">
              <w:rPr>
                <w:rStyle w:val="description"/>
                <w:rFonts w:cstheme="minorHAnsi"/>
                <w:color w:val="333333"/>
                <w:sz w:val="18"/>
                <w:szCs w:val="18"/>
                <w:shd w:val="clear" w:color="auto" w:fill="FFFFFF"/>
              </w:rPr>
              <w:t xml:space="preserve">Change of use from offices (Use Class B1) to 1no. 5 bedroom </w:t>
            </w:r>
            <w:proofErr w:type="spellStart"/>
            <w:r w:rsidRPr="0094080C">
              <w:rPr>
                <w:rStyle w:val="description"/>
                <w:rFonts w:cstheme="minorHAnsi"/>
                <w:color w:val="333333"/>
                <w:sz w:val="18"/>
                <w:szCs w:val="18"/>
                <w:shd w:val="clear" w:color="auto" w:fill="FFFFFF"/>
              </w:rPr>
              <w:t>dwellinghouse</w:t>
            </w:r>
            <w:proofErr w:type="spellEnd"/>
            <w:r w:rsidRPr="0094080C">
              <w:rPr>
                <w:rStyle w:val="description"/>
                <w:rFonts w:cstheme="minorHAnsi"/>
                <w:color w:val="333333"/>
                <w:sz w:val="18"/>
                <w:szCs w:val="18"/>
                <w:shd w:val="clear" w:color="auto" w:fill="FFFFFF"/>
              </w:rPr>
              <w:t xml:space="preserve"> (Use Class C3) (amended description)</w:t>
            </w:r>
          </w:p>
        </w:tc>
        <w:tc>
          <w:tcPr>
            <w:tcW w:w="1270" w:type="dxa"/>
          </w:tcPr>
          <w:p w14:paraId="779EF579" w14:textId="77777777" w:rsidR="0058440A" w:rsidRPr="0094080C" w:rsidRDefault="0058440A" w:rsidP="00EB3687">
            <w:pPr>
              <w:jc w:val="center"/>
              <w:rPr>
                <w:sz w:val="18"/>
                <w:szCs w:val="18"/>
              </w:rPr>
            </w:pPr>
            <w:r w:rsidRPr="0094080C">
              <w:rPr>
                <w:sz w:val="18"/>
                <w:szCs w:val="18"/>
              </w:rPr>
              <w:t>-127</w:t>
            </w:r>
          </w:p>
        </w:tc>
        <w:tc>
          <w:tcPr>
            <w:tcW w:w="1270" w:type="dxa"/>
          </w:tcPr>
          <w:p w14:paraId="283C2290" w14:textId="77777777" w:rsidR="0058440A" w:rsidRPr="0094080C" w:rsidRDefault="0058440A" w:rsidP="00EB3687">
            <w:pPr>
              <w:jc w:val="center"/>
              <w:rPr>
                <w:sz w:val="18"/>
                <w:szCs w:val="18"/>
              </w:rPr>
            </w:pPr>
            <w:r w:rsidRPr="0094080C">
              <w:rPr>
                <w:sz w:val="18"/>
                <w:szCs w:val="18"/>
              </w:rPr>
              <w:t>Residential</w:t>
            </w:r>
          </w:p>
        </w:tc>
      </w:tr>
    </w:tbl>
    <w:p w14:paraId="6967FDCF" w14:textId="6476E219" w:rsidR="0058440A" w:rsidRPr="00EB3687" w:rsidRDefault="2A589756" w:rsidP="00816763">
      <w:pPr>
        <w:autoSpaceDE w:val="0"/>
        <w:autoSpaceDN w:val="0"/>
        <w:adjustRightInd w:val="0"/>
        <w:spacing w:before="240" w:after="200" w:line="276" w:lineRule="auto"/>
        <w:ind w:right="-46"/>
        <w:jc w:val="center"/>
        <w:rPr>
          <w:rFonts w:eastAsia="Calibri" w:cs="Calibri"/>
          <w:bCs/>
          <w:color w:val="000000" w:themeColor="text1"/>
          <w:sz w:val="20"/>
          <w:szCs w:val="20"/>
        </w:rPr>
      </w:pPr>
      <w:r w:rsidRPr="00EB3687">
        <w:rPr>
          <w:rFonts w:eastAsia="Calibri" w:cs="Calibri"/>
          <w:b/>
          <w:bCs/>
          <w:color w:val="000000" w:themeColor="text1"/>
          <w:sz w:val="20"/>
          <w:szCs w:val="20"/>
        </w:rPr>
        <w:t xml:space="preserve">Table </w:t>
      </w:r>
      <w:r w:rsidR="2509948D" w:rsidRPr="00EB3687">
        <w:rPr>
          <w:rFonts w:eastAsia="Calibri" w:cs="Calibri"/>
          <w:b/>
          <w:bCs/>
          <w:color w:val="000000" w:themeColor="text1"/>
          <w:sz w:val="20"/>
          <w:szCs w:val="20"/>
        </w:rPr>
        <w:t>2</w:t>
      </w:r>
      <w:r w:rsidRPr="00EB3687">
        <w:rPr>
          <w:rFonts w:eastAsia="Calibri" w:cs="Calibri"/>
          <w:b/>
          <w:bCs/>
          <w:color w:val="000000" w:themeColor="text1"/>
          <w:sz w:val="20"/>
          <w:szCs w:val="20"/>
        </w:rPr>
        <w:t>:</w:t>
      </w:r>
      <w:r w:rsidR="40596006" w:rsidRPr="00EB3687">
        <w:rPr>
          <w:rFonts w:eastAsia="Calibri" w:cs="Calibri"/>
          <w:b/>
          <w:bCs/>
          <w:color w:val="000000" w:themeColor="text1"/>
          <w:sz w:val="20"/>
          <w:szCs w:val="20"/>
        </w:rPr>
        <w:t xml:space="preserve"> </w:t>
      </w:r>
      <w:r w:rsidR="40596006" w:rsidRPr="00EB3687">
        <w:rPr>
          <w:rFonts w:eastAsia="Calibri" w:cs="Calibri"/>
          <w:bCs/>
          <w:color w:val="000000" w:themeColor="text1"/>
          <w:sz w:val="20"/>
          <w:szCs w:val="20"/>
        </w:rPr>
        <w:t xml:space="preserve">Permissions involving net loss of employment </w:t>
      </w:r>
      <w:proofErr w:type="spellStart"/>
      <w:r w:rsidR="40596006" w:rsidRPr="00EB3687">
        <w:rPr>
          <w:rFonts w:eastAsia="Calibri" w:cs="Calibri"/>
          <w:bCs/>
          <w:color w:val="000000" w:themeColor="text1"/>
          <w:sz w:val="20"/>
          <w:szCs w:val="20"/>
        </w:rPr>
        <w:t>floorspace</w:t>
      </w:r>
      <w:proofErr w:type="spellEnd"/>
      <w:r w:rsidR="40596006" w:rsidRPr="00EB3687">
        <w:rPr>
          <w:rFonts w:eastAsia="Calibri" w:cs="Calibri"/>
          <w:bCs/>
          <w:color w:val="000000" w:themeColor="text1"/>
          <w:sz w:val="20"/>
          <w:szCs w:val="20"/>
        </w:rPr>
        <w:t xml:space="preserve"> of Category 3 and other sites</w:t>
      </w:r>
      <w:r w:rsidR="5A8040AE" w:rsidRPr="00EB3687">
        <w:rPr>
          <w:rFonts w:eastAsia="Calibri" w:cs="Calibri"/>
          <w:bCs/>
          <w:color w:val="000000" w:themeColor="text1"/>
          <w:sz w:val="20"/>
          <w:szCs w:val="20"/>
        </w:rPr>
        <w:t xml:space="preserve"> 2020/21</w:t>
      </w:r>
    </w:p>
    <w:p w14:paraId="2E4C7C5E" w14:textId="288039AA" w:rsidR="00515B5B" w:rsidRPr="00515B5B" w:rsidRDefault="65439C45" w:rsidP="009978CB">
      <w:pPr>
        <w:keepNext/>
        <w:numPr>
          <w:ilvl w:val="1"/>
          <w:numId w:val="11"/>
        </w:numPr>
        <w:spacing w:after="200" w:line="276" w:lineRule="auto"/>
        <w:ind w:left="567" w:hanging="567"/>
        <w:jc w:val="both"/>
        <w:rPr>
          <w:rFonts w:eastAsiaTheme="minorEastAsia"/>
        </w:rPr>
      </w:pPr>
      <w:r>
        <w:t xml:space="preserve">Permissions have been granted for new office uses during the monitoring period.  Most of the net gain in </w:t>
      </w:r>
      <w:proofErr w:type="spellStart"/>
      <w:r>
        <w:t>floorspace</w:t>
      </w:r>
      <w:proofErr w:type="spellEnd"/>
      <w:r>
        <w:t xml:space="preserve"> was derived from changes of use and extensions to existing buildings.</w:t>
      </w:r>
    </w:p>
    <w:tbl>
      <w:tblPr>
        <w:tblStyle w:val="TableGrid"/>
        <w:tblW w:w="0" w:type="auto"/>
        <w:jc w:val="center"/>
        <w:tblLook w:val="04A0" w:firstRow="1" w:lastRow="0" w:firstColumn="1" w:lastColumn="0" w:noHBand="0" w:noVBand="1"/>
      </w:tblPr>
      <w:tblGrid>
        <w:gridCol w:w="1270"/>
        <w:gridCol w:w="1270"/>
        <w:gridCol w:w="2268"/>
        <w:gridCol w:w="1270"/>
        <w:gridCol w:w="1270"/>
      </w:tblGrid>
      <w:tr w:rsidR="0058440A" w:rsidRPr="0094080C" w14:paraId="045D59B2" w14:textId="77777777" w:rsidTr="00AF3791">
        <w:trPr>
          <w:tblHeader/>
          <w:jc w:val="center"/>
        </w:trPr>
        <w:tc>
          <w:tcPr>
            <w:tcW w:w="1270" w:type="dxa"/>
          </w:tcPr>
          <w:p w14:paraId="4B78176C" w14:textId="77777777" w:rsidR="0058440A" w:rsidRPr="0094080C" w:rsidRDefault="0058440A" w:rsidP="00EB3687">
            <w:pPr>
              <w:jc w:val="center"/>
              <w:rPr>
                <w:rStyle w:val="casenumber"/>
                <w:rFonts w:cstheme="minorHAnsi"/>
                <w:b/>
                <w:color w:val="333333"/>
                <w:sz w:val="18"/>
                <w:szCs w:val="18"/>
                <w:shd w:val="clear" w:color="auto" w:fill="FFFFFF"/>
              </w:rPr>
            </w:pPr>
            <w:r w:rsidRPr="0094080C">
              <w:rPr>
                <w:rStyle w:val="casenumber"/>
                <w:rFonts w:cstheme="minorHAnsi"/>
                <w:b/>
                <w:color w:val="333333"/>
                <w:sz w:val="18"/>
                <w:szCs w:val="18"/>
                <w:shd w:val="clear" w:color="auto" w:fill="FFFFFF"/>
              </w:rPr>
              <w:t>App</w:t>
            </w:r>
            <w:r>
              <w:rPr>
                <w:rStyle w:val="casenumber"/>
                <w:rFonts w:cstheme="minorHAnsi"/>
                <w:b/>
                <w:color w:val="333333"/>
                <w:sz w:val="18"/>
                <w:szCs w:val="18"/>
                <w:shd w:val="clear" w:color="auto" w:fill="FFFFFF"/>
              </w:rPr>
              <w:t>lication</w:t>
            </w:r>
            <w:r w:rsidRPr="0094080C">
              <w:rPr>
                <w:rStyle w:val="casenumber"/>
                <w:rFonts w:cstheme="minorHAnsi"/>
                <w:b/>
                <w:color w:val="333333"/>
                <w:sz w:val="18"/>
                <w:szCs w:val="18"/>
                <w:shd w:val="clear" w:color="auto" w:fill="FFFFFF"/>
              </w:rPr>
              <w:t xml:space="preserve"> ref</w:t>
            </w:r>
            <w:r>
              <w:rPr>
                <w:rStyle w:val="casenumber"/>
                <w:rFonts w:cstheme="minorHAnsi"/>
                <w:b/>
                <w:color w:val="333333"/>
                <w:sz w:val="18"/>
                <w:szCs w:val="18"/>
                <w:shd w:val="clear" w:color="auto" w:fill="FFFFFF"/>
              </w:rPr>
              <w:t>erence</w:t>
            </w:r>
          </w:p>
        </w:tc>
        <w:tc>
          <w:tcPr>
            <w:tcW w:w="1270" w:type="dxa"/>
          </w:tcPr>
          <w:p w14:paraId="59275E14" w14:textId="77777777" w:rsidR="0058440A" w:rsidRPr="0094080C" w:rsidRDefault="0058440A" w:rsidP="00EB3687">
            <w:pPr>
              <w:jc w:val="center"/>
              <w:rPr>
                <w:rStyle w:val="casenumber"/>
                <w:rFonts w:cstheme="minorHAnsi"/>
                <w:b/>
                <w:color w:val="333333"/>
                <w:sz w:val="18"/>
                <w:szCs w:val="18"/>
                <w:shd w:val="clear" w:color="auto" w:fill="FFFFFF"/>
              </w:rPr>
            </w:pPr>
            <w:r w:rsidRPr="0094080C">
              <w:rPr>
                <w:rStyle w:val="casenumber"/>
                <w:rFonts w:cstheme="minorHAnsi"/>
                <w:b/>
                <w:color w:val="333333"/>
                <w:sz w:val="18"/>
                <w:szCs w:val="18"/>
                <w:shd w:val="clear" w:color="auto" w:fill="FFFFFF"/>
              </w:rPr>
              <w:t>Site location</w:t>
            </w:r>
          </w:p>
        </w:tc>
        <w:tc>
          <w:tcPr>
            <w:tcW w:w="2268" w:type="dxa"/>
          </w:tcPr>
          <w:p w14:paraId="565108EB" w14:textId="77777777" w:rsidR="0058440A" w:rsidRPr="0094080C" w:rsidRDefault="0058440A" w:rsidP="00EB3687">
            <w:pPr>
              <w:jc w:val="center"/>
              <w:rPr>
                <w:rStyle w:val="casenumber"/>
                <w:rFonts w:cstheme="minorHAnsi"/>
                <w:b/>
                <w:color w:val="333333"/>
                <w:sz w:val="18"/>
                <w:szCs w:val="18"/>
                <w:shd w:val="clear" w:color="auto" w:fill="FFFFFF"/>
              </w:rPr>
            </w:pPr>
            <w:r w:rsidRPr="0094080C">
              <w:rPr>
                <w:rStyle w:val="casenumber"/>
                <w:rFonts w:cstheme="minorHAnsi"/>
                <w:b/>
                <w:color w:val="333333"/>
                <w:sz w:val="18"/>
                <w:szCs w:val="18"/>
                <w:shd w:val="clear" w:color="auto" w:fill="FFFFFF"/>
              </w:rPr>
              <w:t>Development summary</w:t>
            </w:r>
          </w:p>
        </w:tc>
        <w:tc>
          <w:tcPr>
            <w:tcW w:w="1270" w:type="dxa"/>
          </w:tcPr>
          <w:p w14:paraId="7DD00F89" w14:textId="77777777" w:rsidR="0058440A" w:rsidRPr="0094080C" w:rsidRDefault="0058440A" w:rsidP="0058440A">
            <w:pPr>
              <w:jc w:val="center"/>
              <w:rPr>
                <w:rStyle w:val="casenumber"/>
                <w:rFonts w:cstheme="minorHAnsi"/>
                <w:b/>
                <w:color w:val="333333"/>
                <w:sz w:val="18"/>
                <w:szCs w:val="18"/>
                <w:shd w:val="clear" w:color="auto" w:fill="FFFFFF"/>
              </w:rPr>
            </w:pPr>
            <w:r w:rsidRPr="0094080C">
              <w:rPr>
                <w:rStyle w:val="casenumber"/>
                <w:rFonts w:cstheme="minorHAnsi"/>
                <w:b/>
                <w:color w:val="333333"/>
                <w:sz w:val="18"/>
                <w:szCs w:val="18"/>
                <w:shd w:val="clear" w:color="auto" w:fill="FFFFFF"/>
              </w:rPr>
              <w:t xml:space="preserve">Net gain of office/other employment </w:t>
            </w:r>
            <w:proofErr w:type="spellStart"/>
            <w:r w:rsidRPr="0094080C">
              <w:rPr>
                <w:rStyle w:val="casenumber"/>
                <w:rFonts w:cstheme="minorHAnsi"/>
                <w:b/>
                <w:color w:val="333333"/>
                <w:sz w:val="18"/>
                <w:szCs w:val="18"/>
                <w:shd w:val="clear" w:color="auto" w:fill="FFFFFF"/>
              </w:rPr>
              <w:t>floorspace</w:t>
            </w:r>
            <w:proofErr w:type="spellEnd"/>
            <w:r w:rsidRPr="0094080C">
              <w:rPr>
                <w:rStyle w:val="casenumber"/>
                <w:rFonts w:cstheme="minorHAnsi"/>
                <w:b/>
                <w:color w:val="333333"/>
                <w:sz w:val="18"/>
                <w:szCs w:val="18"/>
                <w:shd w:val="clear" w:color="auto" w:fill="FFFFFF"/>
              </w:rPr>
              <w:t xml:space="preserve"> (</w:t>
            </w:r>
            <w:proofErr w:type="spellStart"/>
            <w:r w:rsidRPr="0094080C">
              <w:rPr>
                <w:rStyle w:val="casenumber"/>
                <w:rFonts w:cstheme="minorHAnsi"/>
                <w:b/>
                <w:color w:val="333333"/>
                <w:sz w:val="18"/>
                <w:szCs w:val="18"/>
                <w:shd w:val="clear" w:color="auto" w:fill="FFFFFF"/>
              </w:rPr>
              <w:t>sqm</w:t>
            </w:r>
            <w:proofErr w:type="spellEnd"/>
            <w:r w:rsidRPr="0094080C">
              <w:rPr>
                <w:rStyle w:val="casenumber"/>
                <w:rFonts w:cstheme="minorHAnsi"/>
                <w:b/>
                <w:color w:val="333333"/>
                <w:sz w:val="18"/>
                <w:szCs w:val="18"/>
                <w:shd w:val="clear" w:color="auto" w:fill="FFFFFF"/>
              </w:rPr>
              <w:t>)</w:t>
            </w:r>
          </w:p>
        </w:tc>
        <w:tc>
          <w:tcPr>
            <w:tcW w:w="1270" w:type="dxa"/>
          </w:tcPr>
          <w:p w14:paraId="31F0F7C0" w14:textId="77777777" w:rsidR="0058440A" w:rsidRPr="0094080C" w:rsidRDefault="0058440A" w:rsidP="0058440A">
            <w:pPr>
              <w:jc w:val="center"/>
              <w:rPr>
                <w:rStyle w:val="casenumber"/>
                <w:rFonts w:cstheme="minorHAnsi"/>
                <w:b/>
                <w:color w:val="333333"/>
                <w:sz w:val="18"/>
                <w:szCs w:val="18"/>
                <w:shd w:val="clear" w:color="auto" w:fill="FFFFFF"/>
              </w:rPr>
            </w:pPr>
            <w:r w:rsidRPr="0094080C">
              <w:rPr>
                <w:rStyle w:val="casenumber"/>
                <w:rFonts w:cstheme="minorHAnsi"/>
                <w:b/>
                <w:color w:val="333333"/>
                <w:sz w:val="18"/>
                <w:szCs w:val="18"/>
                <w:shd w:val="clear" w:color="auto" w:fill="FFFFFF"/>
              </w:rPr>
              <w:t>If change of use, summary of previous use</w:t>
            </w:r>
          </w:p>
        </w:tc>
      </w:tr>
      <w:tr w:rsidR="0058440A" w:rsidRPr="0094080C" w14:paraId="12086F03" w14:textId="77777777" w:rsidTr="00AF3791">
        <w:trPr>
          <w:jc w:val="center"/>
        </w:trPr>
        <w:tc>
          <w:tcPr>
            <w:tcW w:w="1270" w:type="dxa"/>
          </w:tcPr>
          <w:p w14:paraId="0C46A615" w14:textId="3E16F40D" w:rsidR="0058440A" w:rsidRPr="00171961" w:rsidRDefault="0058440A" w:rsidP="00EB3687">
            <w:pPr>
              <w:jc w:val="center"/>
              <w:rPr>
                <w:rFonts w:cstheme="minorHAnsi"/>
                <w:sz w:val="18"/>
                <w:szCs w:val="18"/>
              </w:rPr>
            </w:pPr>
            <w:r w:rsidRPr="00D31B85">
              <w:rPr>
                <w:rStyle w:val="casenumber"/>
                <w:rFonts w:cstheme="minorHAnsi"/>
                <w:sz w:val="18"/>
                <w:szCs w:val="18"/>
                <w:shd w:val="clear" w:color="auto" w:fill="FFFFFF"/>
              </w:rPr>
              <w:t>20/00908/FUL</w:t>
            </w:r>
          </w:p>
        </w:tc>
        <w:tc>
          <w:tcPr>
            <w:tcW w:w="1270" w:type="dxa"/>
          </w:tcPr>
          <w:p w14:paraId="0D5E31BF" w14:textId="77777777" w:rsidR="0058440A" w:rsidRPr="00171961" w:rsidRDefault="0058440A" w:rsidP="00EB3687">
            <w:pPr>
              <w:jc w:val="center"/>
              <w:rPr>
                <w:rFonts w:cstheme="minorHAnsi"/>
                <w:sz w:val="18"/>
                <w:szCs w:val="18"/>
              </w:rPr>
            </w:pPr>
            <w:r w:rsidRPr="00D31B85">
              <w:rPr>
                <w:rStyle w:val="address"/>
                <w:rFonts w:cstheme="minorHAnsi"/>
                <w:sz w:val="18"/>
                <w:szCs w:val="18"/>
                <w:shd w:val="clear" w:color="auto" w:fill="FFFFFF"/>
              </w:rPr>
              <w:t>15 King Edward Street Oxford OX1 4HT</w:t>
            </w:r>
          </w:p>
        </w:tc>
        <w:tc>
          <w:tcPr>
            <w:tcW w:w="2268" w:type="dxa"/>
          </w:tcPr>
          <w:p w14:paraId="71A7361D" w14:textId="77777777" w:rsidR="0058440A" w:rsidRPr="00171961" w:rsidRDefault="0058440A" w:rsidP="00EB3687">
            <w:pPr>
              <w:jc w:val="center"/>
              <w:rPr>
                <w:rFonts w:cstheme="minorHAnsi"/>
                <w:sz w:val="18"/>
                <w:szCs w:val="18"/>
              </w:rPr>
            </w:pPr>
            <w:r w:rsidRPr="00D31B85">
              <w:rPr>
                <w:rStyle w:val="description"/>
                <w:rFonts w:cstheme="minorHAnsi"/>
                <w:sz w:val="18"/>
                <w:szCs w:val="18"/>
                <w:shd w:val="clear" w:color="auto" w:fill="FFFFFF"/>
              </w:rPr>
              <w:t xml:space="preserve">Change of use from teaching (Use Class D1) to a mixed use class as office (Use Class </w:t>
            </w:r>
            <w:proofErr w:type="gramStart"/>
            <w:r w:rsidRPr="00D31B85">
              <w:rPr>
                <w:rStyle w:val="description"/>
                <w:rFonts w:cstheme="minorHAnsi"/>
                <w:sz w:val="18"/>
                <w:szCs w:val="18"/>
                <w:shd w:val="clear" w:color="auto" w:fill="FFFFFF"/>
              </w:rPr>
              <w:t>B1(</w:t>
            </w:r>
            <w:proofErr w:type="gramEnd"/>
            <w:r w:rsidRPr="00D31B85">
              <w:rPr>
                <w:rStyle w:val="description"/>
                <w:rFonts w:cstheme="minorHAnsi"/>
                <w:sz w:val="18"/>
                <w:szCs w:val="18"/>
                <w:shd w:val="clear" w:color="auto" w:fill="FFFFFF"/>
              </w:rPr>
              <w:t>a) and teaching (Use Class D1).</w:t>
            </w:r>
          </w:p>
        </w:tc>
        <w:tc>
          <w:tcPr>
            <w:tcW w:w="1270" w:type="dxa"/>
          </w:tcPr>
          <w:p w14:paraId="36D3EC8C" w14:textId="77777777" w:rsidR="0058440A" w:rsidRPr="0094080C" w:rsidRDefault="0058440A" w:rsidP="0058440A">
            <w:pPr>
              <w:jc w:val="center"/>
              <w:rPr>
                <w:rFonts w:cstheme="minorHAnsi"/>
                <w:sz w:val="18"/>
                <w:szCs w:val="18"/>
              </w:rPr>
            </w:pPr>
            <w:r w:rsidRPr="0094080C">
              <w:rPr>
                <w:rFonts w:cstheme="minorHAnsi"/>
                <w:sz w:val="18"/>
                <w:szCs w:val="18"/>
              </w:rPr>
              <w:t>341</w:t>
            </w:r>
          </w:p>
        </w:tc>
        <w:tc>
          <w:tcPr>
            <w:tcW w:w="1270" w:type="dxa"/>
          </w:tcPr>
          <w:p w14:paraId="7B2693FE" w14:textId="77777777" w:rsidR="0058440A" w:rsidRPr="0094080C" w:rsidRDefault="0058440A" w:rsidP="0058440A">
            <w:pPr>
              <w:jc w:val="center"/>
              <w:rPr>
                <w:rFonts w:cstheme="minorHAnsi"/>
                <w:sz w:val="18"/>
                <w:szCs w:val="18"/>
              </w:rPr>
            </w:pPr>
            <w:r w:rsidRPr="0094080C">
              <w:rPr>
                <w:rFonts w:cstheme="minorHAnsi"/>
                <w:sz w:val="18"/>
                <w:szCs w:val="18"/>
              </w:rPr>
              <w:t>Education</w:t>
            </w:r>
          </w:p>
        </w:tc>
      </w:tr>
      <w:tr w:rsidR="0058440A" w:rsidRPr="0094080C" w14:paraId="56BF8798" w14:textId="77777777" w:rsidTr="00AF3791">
        <w:trPr>
          <w:jc w:val="center"/>
        </w:trPr>
        <w:tc>
          <w:tcPr>
            <w:tcW w:w="1270" w:type="dxa"/>
          </w:tcPr>
          <w:p w14:paraId="689783C1" w14:textId="119D78CF" w:rsidR="0058440A" w:rsidRPr="00171961" w:rsidRDefault="0058440A" w:rsidP="00EB3687">
            <w:pPr>
              <w:jc w:val="center"/>
              <w:rPr>
                <w:sz w:val="18"/>
                <w:szCs w:val="18"/>
              </w:rPr>
            </w:pPr>
            <w:r w:rsidRPr="00D31B85">
              <w:rPr>
                <w:rStyle w:val="casenumber"/>
                <w:rFonts w:cstheme="minorHAnsi"/>
                <w:sz w:val="18"/>
                <w:szCs w:val="18"/>
                <w:shd w:val="clear" w:color="auto" w:fill="FFFFFF"/>
              </w:rPr>
              <w:t>20/01587/FUL</w:t>
            </w:r>
          </w:p>
        </w:tc>
        <w:tc>
          <w:tcPr>
            <w:tcW w:w="1270" w:type="dxa"/>
          </w:tcPr>
          <w:p w14:paraId="17A66FC3" w14:textId="77777777" w:rsidR="0058440A" w:rsidRPr="00171961" w:rsidRDefault="0058440A" w:rsidP="00EB3687">
            <w:pPr>
              <w:jc w:val="center"/>
              <w:rPr>
                <w:sz w:val="18"/>
                <w:szCs w:val="18"/>
              </w:rPr>
            </w:pPr>
            <w:r w:rsidRPr="00D31B85">
              <w:rPr>
                <w:rStyle w:val="address"/>
                <w:rFonts w:cstheme="minorHAnsi"/>
                <w:sz w:val="18"/>
                <w:szCs w:val="18"/>
                <w:shd w:val="clear" w:color="auto" w:fill="FFFFFF"/>
              </w:rPr>
              <w:t xml:space="preserve">Car Park To The Rear Of </w:t>
            </w:r>
            <w:proofErr w:type="spellStart"/>
            <w:r w:rsidRPr="00D31B85">
              <w:rPr>
                <w:rStyle w:val="address"/>
                <w:rFonts w:cstheme="minorHAnsi"/>
                <w:sz w:val="18"/>
                <w:szCs w:val="18"/>
                <w:shd w:val="clear" w:color="auto" w:fill="FFFFFF"/>
              </w:rPr>
              <w:t>Littlemead</w:t>
            </w:r>
            <w:proofErr w:type="spellEnd"/>
            <w:r w:rsidRPr="00D31B85">
              <w:rPr>
                <w:rStyle w:val="address"/>
                <w:rFonts w:cstheme="minorHAnsi"/>
                <w:sz w:val="18"/>
                <w:szCs w:val="18"/>
                <w:shd w:val="clear" w:color="auto" w:fill="FFFFFF"/>
              </w:rPr>
              <w:t xml:space="preserve"> Business Park Ferry </w:t>
            </w:r>
            <w:proofErr w:type="spellStart"/>
            <w:r w:rsidRPr="00D31B85">
              <w:rPr>
                <w:rStyle w:val="address"/>
                <w:rFonts w:cstheme="minorHAnsi"/>
                <w:sz w:val="18"/>
                <w:szCs w:val="18"/>
                <w:shd w:val="clear" w:color="auto" w:fill="FFFFFF"/>
              </w:rPr>
              <w:t>Hinksey</w:t>
            </w:r>
            <w:proofErr w:type="spellEnd"/>
            <w:r w:rsidRPr="00D31B85">
              <w:rPr>
                <w:rStyle w:val="address"/>
                <w:rFonts w:cstheme="minorHAnsi"/>
                <w:sz w:val="18"/>
                <w:szCs w:val="18"/>
                <w:shd w:val="clear" w:color="auto" w:fill="FFFFFF"/>
              </w:rPr>
              <w:t xml:space="preserve"> Road Oxford Oxfordshire OX2 0ES</w:t>
            </w:r>
          </w:p>
        </w:tc>
        <w:tc>
          <w:tcPr>
            <w:tcW w:w="2268" w:type="dxa"/>
          </w:tcPr>
          <w:p w14:paraId="671A4DDA" w14:textId="77777777" w:rsidR="0058440A" w:rsidRPr="00171961" w:rsidRDefault="0058440A" w:rsidP="00EB3687">
            <w:pPr>
              <w:jc w:val="center"/>
              <w:rPr>
                <w:sz w:val="18"/>
                <w:szCs w:val="18"/>
              </w:rPr>
            </w:pPr>
            <w:r w:rsidRPr="00D31B85">
              <w:rPr>
                <w:rStyle w:val="description"/>
                <w:rFonts w:cstheme="minorHAnsi"/>
                <w:sz w:val="18"/>
                <w:szCs w:val="18"/>
                <w:shd w:val="clear" w:color="auto" w:fill="FFFFFF"/>
              </w:rPr>
              <w:t>Demolition of existing buildings (use class B1c) and erection of two storey building to provide office space (Use Class B1a). Provision of amenity space, car parking and bin and cycle stores with associated landscaping.</w:t>
            </w:r>
          </w:p>
        </w:tc>
        <w:tc>
          <w:tcPr>
            <w:tcW w:w="1270" w:type="dxa"/>
          </w:tcPr>
          <w:p w14:paraId="77297F01" w14:textId="77777777" w:rsidR="0058440A" w:rsidRPr="0094080C" w:rsidRDefault="0058440A" w:rsidP="0058440A">
            <w:pPr>
              <w:jc w:val="center"/>
              <w:rPr>
                <w:sz w:val="18"/>
                <w:szCs w:val="18"/>
              </w:rPr>
            </w:pPr>
            <w:r w:rsidRPr="0094080C">
              <w:rPr>
                <w:sz w:val="18"/>
                <w:szCs w:val="18"/>
              </w:rPr>
              <w:t>481.2</w:t>
            </w:r>
          </w:p>
        </w:tc>
        <w:tc>
          <w:tcPr>
            <w:tcW w:w="1270" w:type="dxa"/>
          </w:tcPr>
          <w:p w14:paraId="0DFA4F43" w14:textId="77777777" w:rsidR="0058440A" w:rsidRPr="0094080C" w:rsidRDefault="0058440A" w:rsidP="0058440A">
            <w:pPr>
              <w:jc w:val="center"/>
              <w:rPr>
                <w:sz w:val="18"/>
                <w:szCs w:val="18"/>
              </w:rPr>
            </w:pPr>
            <w:r w:rsidRPr="0094080C">
              <w:rPr>
                <w:sz w:val="18"/>
                <w:szCs w:val="18"/>
              </w:rPr>
              <w:t>N.A.</w:t>
            </w:r>
          </w:p>
        </w:tc>
      </w:tr>
      <w:tr w:rsidR="0058440A" w:rsidRPr="0094080C" w14:paraId="01680BC4" w14:textId="77777777" w:rsidTr="00AF3791">
        <w:trPr>
          <w:jc w:val="center"/>
        </w:trPr>
        <w:tc>
          <w:tcPr>
            <w:tcW w:w="1270" w:type="dxa"/>
          </w:tcPr>
          <w:p w14:paraId="0CC1AC49" w14:textId="77777777" w:rsidR="0058440A" w:rsidRPr="0094080C" w:rsidRDefault="0058440A" w:rsidP="00EB3687">
            <w:pPr>
              <w:jc w:val="center"/>
              <w:rPr>
                <w:rStyle w:val="casenumber"/>
                <w:rFonts w:cstheme="minorHAnsi"/>
                <w:color w:val="333333"/>
                <w:sz w:val="18"/>
                <w:szCs w:val="18"/>
                <w:shd w:val="clear" w:color="auto" w:fill="FFFFFF"/>
              </w:rPr>
            </w:pPr>
            <w:r w:rsidRPr="0094080C">
              <w:rPr>
                <w:rStyle w:val="casenumber"/>
                <w:rFonts w:cstheme="minorHAnsi"/>
                <w:color w:val="333333"/>
                <w:sz w:val="18"/>
                <w:szCs w:val="18"/>
                <w:shd w:val="clear" w:color="auto" w:fill="FFFFFF"/>
              </w:rPr>
              <w:t>20/02981/FUL</w:t>
            </w:r>
          </w:p>
        </w:tc>
        <w:tc>
          <w:tcPr>
            <w:tcW w:w="1270" w:type="dxa"/>
          </w:tcPr>
          <w:p w14:paraId="7CFB2CBB" w14:textId="77777777" w:rsidR="0058440A" w:rsidRPr="0094080C" w:rsidRDefault="0058440A" w:rsidP="00EB3687">
            <w:pPr>
              <w:jc w:val="center"/>
              <w:rPr>
                <w:rStyle w:val="address"/>
                <w:rFonts w:cstheme="minorHAnsi"/>
                <w:color w:val="333333"/>
                <w:sz w:val="18"/>
                <w:szCs w:val="18"/>
                <w:shd w:val="clear" w:color="auto" w:fill="FFFFFF"/>
              </w:rPr>
            </w:pPr>
            <w:r w:rsidRPr="0094080C">
              <w:rPr>
                <w:rStyle w:val="address"/>
                <w:rFonts w:cstheme="minorHAnsi"/>
                <w:color w:val="333333"/>
                <w:sz w:val="18"/>
                <w:szCs w:val="18"/>
                <w:shd w:val="clear" w:color="auto" w:fill="FFFFFF"/>
              </w:rPr>
              <w:t xml:space="preserve">33-37 Offices </w:t>
            </w:r>
            <w:proofErr w:type="spellStart"/>
            <w:r w:rsidRPr="0094080C">
              <w:rPr>
                <w:rStyle w:val="address"/>
                <w:rFonts w:cstheme="minorHAnsi"/>
                <w:color w:val="333333"/>
                <w:sz w:val="18"/>
                <w:szCs w:val="18"/>
                <w:shd w:val="clear" w:color="auto" w:fill="FFFFFF"/>
              </w:rPr>
              <w:t>Stockmore</w:t>
            </w:r>
            <w:proofErr w:type="spellEnd"/>
            <w:r w:rsidRPr="0094080C">
              <w:rPr>
                <w:rStyle w:val="address"/>
                <w:rFonts w:cstheme="minorHAnsi"/>
                <w:color w:val="333333"/>
                <w:sz w:val="18"/>
                <w:szCs w:val="18"/>
                <w:shd w:val="clear" w:color="auto" w:fill="FFFFFF"/>
              </w:rPr>
              <w:t xml:space="preserve"> Street Oxford OX4 1JT</w:t>
            </w:r>
          </w:p>
        </w:tc>
        <w:tc>
          <w:tcPr>
            <w:tcW w:w="2268" w:type="dxa"/>
          </w:tcPr>
          <w:p w14:paraId="4AEFF553" w14:textId="77777777" w:rsidR="0058440A" w:rsidRPr="0094080C" w:rsidRDefault="0058440A" w:rsidP="00EB3687">
            <w:pPr>
              <w:jc w:val="center"/>
              <w:rPr>
                <w:rFonts w:cstheme="minorHAnsi"/>
                <w:color w:val="333333"/>
                <w:sz w:val="18"/>
                <w:szCs w:val="18"/>
                <w:shd w:val="clear" w:color="auto" w:fill="FFFFFF"/>
              </w:rPr>
            </w:pPr>
            <w:r w:rsidRPr="0094080C">
              <w:rPr>
                <w:rStyle w:val="description"/>
                <w:rFonts w:cstheme="minorHAnsi"/>
                <w:color w:val="333333"/>
                <w:sz w:val="18"/>
                <w:szCs w:val="18"/>
                <w:shd w:val="clear" w:color="auto" w:fill="FFFFFF"/>
              </w:rPr>
              <w:t>Alterations and enlargement of existing building including erection of a second floor extension and alterations to entrance to create additional office space. Provision of cycle parking</w:t>
            </w:r>
          </w:p>
        </w:tc>
        <w:tc>
          <w:tcPr>
            <w:tcW w:w="1270" w:type="dxa"/>
          </w:tcPr>
          <w:p w14:paraId="72A34080" w14:textId="77777777" w:rsidR="0058440A" w:rsidRPr="0094080C" w:rsidRDefault="0058440A" w:rsidP="0058440A">
            <w:pPr>
              <w:jc w:val="center"/>
              <w:rPr>
                <w:sz w:val="18"/>
                <w:szCs w:val="18"/>
              </w:rPr>
            </w:pPr>
            <w:r w:rsidRPr="0094080C">
              <w:rPr>
                <w:sz w:val="18"/>
                <w:szCs w:val="18"/>
              </w:rPr>
              <w:t>53.19</w:t>
            </w:r>
          </w:p>
        </w:tc>
        <w:tc>
          <w:tcPr>
            <w:tcW w:w="1270" w:type="dxa"/>
          </w:tcPr>
          <w:p w14:paraId="7BEE560C" w14:textId="77777777" w:rsidR="0058440A" w:rsidRPr="0094080C" w:rsidRDefault="0058440A" w:rsidP="0058440A">
            <w:pPr>
              <w:jc w:val="center"/>
              <w:rPr>
                <w:sz w:val="18"/>
                <w:szCs w:val="18"/>
              </w:rPr>
            </w:pPr>
            <w:r>
              <w:rPr>
                <w:sz w:val="18"/>
                <w:szCs w:val="18"/>
              </w:rPr>
              <w:t>N.A.</w:t>
            </w:r>
          </w:p>
        </w:tc>
      </w:tr>
      <w:tr w:rsidR="0058440A" w:rsidRPr="0094080C" w14:paraId="7F78A1C1" w14:textId="77777777" w:rsidTr="00AF3791">
        <w:trPr>
          <w:jc w:val="center"/>
        </w:trPr>
        <w:tc>
          <w:tcPr>
            <w:tcW w:w="1270" w:type="dxa"/>
          </w:tcPr>
          <w:p w14:paraId="0F9805FE" w14:textId="613047C2" w:rsidR="0058440A" w:rsidRPr="0094080C" w:rsidRDefault="0058440A" w:rsidP="00EB3687">
            <w:pPr>
              <w:jc w:val="center"/>
              <w:rPr>
                <w:rStyle w:val="casenumber"/>
                <w:rFonts w:cstheme="minorHAnsi"/>
                <w:color w:val="333333"/>
                <w:sz w:val="18"/>
                <w:szCs w:val="18"/>
                <w:shd w:val="clear" w:color="auto" w:fill="FFFFFF"/>
              </w:rPr>
            </w:pPr>
            <w:r w:rsidRPr="0094080C">
              <w:rPr>
                <w:rStyle w:val="casenumber"/>
                <w:rFonts w:cstheme="minorHAnsi"/>
                <w:color w:val="333333"/>
                <w:sz w:val="18"/>
                <w:szCs w:val="18"/>
                <w:shd w:val="clear" w:color="auto" w:fill="FFFFFF"/>
              </w:rPr>
              <w:t>20/03199/FUL</w:t>
            </w:r>
          </w:p>
        </w:tc>
        <w:tc>
          <w:tcPr>
            <w:tcW w:w="1270" w:type="dxa"/>
          </w:tcPr>
          <w:p w14:paraId="562AA60F" w14:textId="77777777" w:rsidR="0058440A" w:rsidRPr="0094080C" w:rsidRDefault="0058440A" w:rsidP="00EB3687">
            <w:pPr>
              <w:jc w:val="center"/>
              <w:rPr>
                <w:rStyle w:val="address"/>
                <w:rFonts w:cstheme="minorHAnsi"/>
                <w:color w:val="333333"/>
                <w:sz w:val="18"/>
                <w:szCs w:val="18"/>
                <w:shd w:val="clear" w:color="auto" w:fill="FFFFFF"/>
              </w:rPr>
            </w:pPr>
            <w:r w:rsidRPr="0094080C">
              <w:rPr>
                <w:rStyle w:val="address"/>
                <w:rFonts w:cstheme="minorHAnsi"/>
                <w:color w:val="333333"/>
                <w:sz w:val="18"/>
                <w:szCs w:val="18"/>
                <w:shd w:val="clear" w:color="auto" w:fill="FFFFFF"/>
              </w:rPr>
              <w:t xml:space="preserve">33-37 Offices </w:t>
            </w:r>
            <w:proofErr w:type="spellStart"/>
            <w:r w:rsidRPr="0094080C">
              <w:rPr>
                <w:rStyle w:val="address"/>
                <w:rFonts w:cstheme="minorHAnsi"/>
                <w:color w:val="333333"/>
                <w:sz w:val="18"/>
                <w:szCs w:val="18"/>
                <w:shd w:val="clear" w:color="auto" w:fill="FFFFFF"/>
              </w:rPr>
              <w:t>Stockmore</w:t>
            </w:r>
            <w:proofErr w:type="spellEnd"/>
            <w:r w:rsidRPr="0094080C">
              <w:rPr>
                <w:rStyle w:val="address"/>
                <w:rFonts w:cstheme="minorHAnsi"/>
                <w:color w:val="333333"/>
                <w:sz w:val="18"/>
                <w:szCs w:val="18"/>
                <w:shd w:val="clear" w:color="auto" w:fill="FFFFFF"/>
              </w:rPr>
              <w:t xml:space="preserve"> Street Oxford OX4 1JT</w:t>
            </w:r>
          </w:p>
        </w:tc>
        <w:tc>
          <w:tcPr>
            <w:tcW w:w="2268" w:type="dxa"/>
          </w:tcPr>
          <w:p w14:paraId="3D31690D" w14:textId="77777777" w:rsidR="0058440A" w:rsidRPr="0094080C" w:rsidRDefault="0058440A" w:rsidP="00EB3687">
            <w:pPr>
              <w:jc w:val="center"/>
              <w:rPr>
                <w:rStyle w:val="description"/>
                <w:rFonts w:cstheme="minorHAnsi"/>
                <w:color w:val="333333"/>
                <w:sz w:val="18"/>
                <w:szCs w:val="18"/>
                <w:shd w:val="clear" w:color="auto" w:fill="FFFFFF"/>
              </w:rPr>
            </w:pPr>
            <w:r w:rsidRPr="0094080C">
              <w:rPr>
                <w:rStyle w:val="description"/>
                <w:rFonts w:cstheme="minorHAnsi"/>
                <w:color w:val="333333"/>
                <w:sz w:val="18"/>
                <w:szCs w:val="18"/>
                <w:shd w:val="clear" w:color="auto" w:fill="FFFFFF"/>
              </w:rPr>
              <w:t xml:space="preserve">Demolition of offices and storage on </w:t>
            </w:r>
            <w:proofErr w:type="spellStart"/>
            <w:r w:rsidRPr="0094080C">
              <w:rPr>
                <w:rStyle w:val="description"/>
                <w:rFonts w:cstheme="minorHAnsi"/>
                <w:color w:val="333333"/>
                <w:sz w:val="18"/>
                <w:szCs w:val="18"/>
                <w:shd w:val="clear" w:color="auto" w:fill="FFFFFF"/>
              </w:rPr>
              <w:t>Stockmore</w:t>
            </w:r>
            <w:proofErr w:type="spellEnd"/>
            <w:r w:rsidRPr="0094080C">
              <w:rPr>
                <w:rStyle w:val="description"/>
                <w:rFonts w:cstheme="minorHAnsi"/>
                <w:color w:val="333333"/>
                <w:sz w:val="18"/>
                <w:szCs w:val="18"/>
                <w:shd w:val="clear" w:color="auto" w:fill="FFFFFF"/>
              </w:rPr>
              <w:t xml:space="preserve"> Street (Mixed Use Classes B8/E). Redevelopment of site between </w:t>
            </w:r>
            <w:proofErr w:type="spellStart"/>
            <w:r w:rsidRPr="0094080C">
              <w:rPr>
                <w:rStyle w:val="description"/>
                <w:rFonts w:cstheme="minorHAnsi"/>
                <w:color w:val="333333"/>
                <w:sz w:val="18"/>
                <w:szCs w:val="18"/>
                <w:shd w:val="clear" w:color="auto" w:fill="FFFFFF"/>
              </w:rPr>
              <w:t>Stockmore</w:t>
            </w:r>
            <w:proofErr w:type="spellEnd"/>
            <w:r w:rsidRPr="0094080C">
              <w:rPr>
                <w:rStyle w:val="description"/>
                <w:rFonts w:cstheme="minorHAnsi"/>
                <w:color w:val="333333"/>
                <w:sz w:val="18"/>
                <w:szCs w:val="18"/>
                <w:shd w:val="clear" w:color="auto" w:fill="FFFFFF"/>
              </w:rPr>
              <w:t xml:space="preserve"> Street and Temple Street to provide new office development (Use Class E). Provision of bin and cycle stores.</w:t>
            </w:r>
          </w:p>
        </w:tc>
        <w:tc>
          <w:tcPr>
            <w:tcW w:w="1270" w:type="dxa"/>
          </w:tcPr>
          <w:p w14:paraId="2B97E08E" w14:textId="77777777" w:rsidR="0058440A" w:rsidRPr="0094080C" w:rsidRDefault="0058440A" w:rsidP="0058440A">
            <w:pPr>
              <w:jc w:val="center"/>
              <w:rPr>
                <w:sz w:val="18"/>
                <w:szCs w:val="18"/>
              </w:rPr>
            </w:pPr>
            <w:r w:rsidRPr="0094080C">
              <w:rPr>
                <w:sz w:val="18"/>
                <w:szCs w:val="18"/>
              </w:rPr>
              <w:t>516</w:t>
            </w:r>
          </w:p>
        </w:tc>
        <w:tc>
          <w:tcPr>
            <w:tcW w:w="1270" w:type="dxa"/>
          </w:tcPr>
          <w:p w14:paraId="7C8E7057" w14:textId="77777777" w:rsidR="0058440A" w:rsidRPr="0094080C" w:rsidRDefault="0058440A" w:rsidP="0058440A">
            <w:pPr>
              <w:jc w:val="center"/>
              <w:rPr>
                <w:sz w:val="18"/>
                <w:szCs w:val="18"/>
              </w:rPr>
            </w:pPr>
            <w:r w:rsidRPr="0094080C">
              <w:rPr>
                <w:sz w:val="18"/>
                <w:szCs w:val="18"/>
              </w:rPr>
              <w:t>N.A.</w:t>
            </w:r>
          </w:p>
        </w:tc>
      </w:tr>
      <w:tr w:rsidR="0058440A" w:rsidRPr="0094080C" w14:paraId="51159CFE" w14:textId="77777777" w:rsidTr="00AF3791">
        <w:trPr>
          <w:jc w:val="center"/>
        </w:trPr>
        <w:tc>
          <w:tcPr>
            <w:tcW w:w="1270" w:type="dxa"/>
          </w:tcPr>
          <w:p w14:paraId="51E25589" w14:textId="77777777" w:rsidR="0058440A" w:rsidRPr="0094080C" w:rsidRDefault="0058440A" w:rsidP="00EB3687">
            <w:pPr>
              <w:jc w:val="center"/>
              <w:rPr>
                <w:rStyle w:val="casenumber"/>
                <w:rFonts w:cstheme="minorHAnsi"/>
                <w:color w:val="333333"/>
                <w:sz w:val="18"/>
                <w:szCs w:val="18"/>
                <w:shd w:val="clear" w:color="auto" w:fill="FFFFFF"/>
              </w:rPr>
            </w:pPr>
            <w:r w:rsidRPr="0094080C">
              <w:rPr>
                <w:rStyle w:val="casenumber"/>
                <w:rFonts w:cstheme="minorHAnsi"/>
                <w:color w:val="333333"/>
                <w:sz w:val="18"/>
                <w:szCs w:val="18"/>
                <w:shd w:val="clear" w:color="auto" w:fill="FFFFFF"/>
              </w:rPr>
              <w:lastRenderedPageBreak/>
              <w:t>20/00560/FUL</w:t>
            </w:r>
          </w:p>
        </w:tc>
        <w:tc>
          <w:tcPr>
            <w:tcW w:w="1270" w:type="dxa"/>
          </w:tcPr>
          <w:p w14:paraId="72F83C50" w14:textId="77777777" w:rsidR="0058440A" w:rsidRPr="0094080C" w:rsidRDefault="0058440A" w:rsidP="00EB3687">
            <w:pPr>
              <w:jc w:val="center"/>
              <w:rPr>
                <w:rStyle w:val="address"/>
                <w:rFonts w:cstheme="minorHAnsi"/>
                <w:color w:val="333333"/>
                <w:sz w:val="18"/>
                <w:szCs w:val="18"/>
                <w:shd w:val="clear" w:color="auto" w:fill="FFFFFF"/>
              </w:rPr>
            </w:pPr>
            <w:r w:rsidRPr="0094080C">
              <w:rPr>
                <w:rStyle w:val="address"/>
                <w:rFonts w:cstheme="minorHAnsi"/>
                <w:color w:val="333333"/>
                <w:sz w:val="18"/>
                <w:szCs w:val="18"/>
                <w:shd w:val="clear" w:color="auto" w:fill="FFFFFF"/>
              </w:rPr>
              <w:t>67 Woodstock Road Oxford OX2 6HJ</w:t>
            </w:r>
          </w:p>
        </w:tc>
        <w:tc>
          <w:tcPr>
            <w:tcW w:w="2268" w:type="dxa"/>
          </w:tcPr>
          <w:p w14:paraId="001DF0F6" w14:textId="77777777" w:rsidR="0058440A" w:rsidRDefault="0058440A" w:rsidP="00EB3687">
            <w:pPr>
              <w:jc w:val="center"/>
              <w:rPr>
                <w:rStyle w:val="description"/>
                <w:rFonts w:cstheme="minorHAnsi"/>
                <w:color w:val="333333"/>
                <w:sz w:val="18"/>
                <w:szCs w:val="18"/>
                <w:shd w:val="clear" w:color="auto" w:fill="FFFFFF"/>
              </w:rPr>
            </w:pPr>
            <w:r w:rsidRPr="0094080C">
              <w:rPr>
                <w:rStyle w:val="description"/>
                <w:rFonts w:cstheme="minorHAnsi"/>
                <w:color w:val="333333"/>
                <w:sz w:val="18"/>
                <w:szCs w:val="18"/>
                <w:shd w:val="clear" w:color="auto" w:fill="FFFFFF"/>
              </w:rPr>
              <w:t>Change of use of the ground floor and basement from Retail (Class A1) to Office (Class B1)</w:t>
            </w:r>
          </w:p>
          <w:p w14:paraId="382EB735" w14:textId="143DBDEA" w:rsidR="00EB3687" w:rsidRPr="0094080C" w:rsidRDefault="00EB3687" w:rsidP="00EB3687">
            <w:pPr>
              <w:jc w:val="center"/>
              <w:rPr>
                <w:rStyle w:val="description"/>
                <w:rFonts w:cstheme="minorHAnsi"/>
                <w:color w:val="333333"/>
                <w:sz w:val="18"/>
                <w:szCs w:val="18"/>
                <w:shd w:val="clear" w:color="auto" w:fill="FFFFFF"/>
              </w:rPr>
            </w:pPr>
          </w:p>
        </w:tc>
        <w:tc>
          <w:tcPr>
            <w:tcW w:w="1270" w:type="dxa"/>
          </w:tcPr>
          <w:p w14:paraId="733746B1" w14:textId="77777777" w:rsidR="0058440A" w:rsidRPr="0094080C" w:rsidRDefault="0058440A" w:rsidP="0058440A">
            <w:pPr>
              <w:jc w:val="center"/>
              <w:rPr>
                <w:sz w:val="18"/>
                <w:szCs w:val="18"/>
              </w:rPr>
            </w:pPr>
            <w:r w:rsidRPr="0094080C">
              <w:rPr>
                <w:sz w:val="18"/>
                <w:szCs w:val="18"/>
              </w:rPr>
              <w:t>108.9</w:t>
            </w:r>
          </w:p>
        </w:tc>
        <w:tc>
          <w:tcPr>
            <w:tcW w:w="1270" w:type="dxa"/>
          </w:tcPr>
          <w:p w14:paraId="2A9FD75C" w14:textId="77777777" w:rsidR="0058440A" w:rsidRPr="0094080C" w:rsidRDefault="0058440A" w:rsidP="0058440A">
            <w:pPr>
              <w:jc w:val="center"/>
              <w:rPr>
                <w:sz w:val="18"/>
                <w:szCs w:val="18"/>
              </w:rPr>
            </w:pPr>
            <w:r w:rsidRPr="0094080C">
              <w:rPr>
                <w:sz w:val="18"/>
                <w:szCs w:val="18"/>
              </w:rPr>
              <w:t>Retail</w:t>
            </w:r>
          </w:p>
        </w:tc>
      </w:tr>
    </w:tbl>
    <w:p w14:paraId="7EFBA1BE" w14:textId="28F79EF0" w:rsidR="00EB3687" w:rsidRDefault="2A589756" w:rsidP="00AF7B60">
      <w:pPr>
        <w:autoSpaceDE w:val="0"/>
        <w:autoSpaceDN w:val="0"/>
        <w:adjustRightInd w:val="0"/>
        <w:spacing w:before="240" w:after="200" w:line="276" w:lineRule="auto"/>
        <w:ind w:right="-46"/>
        <w:jc w:val="center"/>
        <w:rPr>
          <w:rFonts w:eastAsia="Calibri" w:cs="Calibri"/>
          <w:bCs/>
          <w:color w:val="000000" w:themeColor="text1"/>
          <w:sz w:val="20"/>
          <w:szCs w:val="20"/>
        </w:rPr>
      </w:pPr>
      <w:r w:rsidRPr="00EB3687">
        <w:rPr>
          <w:rFonts w:eastAsia="Calibri" w:cs="Calibri"/>
          <w:b/>
          <w:bCs/>
          <w:color w:val="000000" w:themeColor="text1"/>
          <w:sz w:val="20"/>
          <w:szCs w:val="20"/>
        </w:rPr>
        <w:t xml:space="preserve">Table </w:t>
      </w:r>
      <w:r w:rsidR="4005A4B0" w:rsidRPr="00EB3687">
        <w:rPr>
          <w:rFonts w:eastAsia="Calibri" w:cs="Calibri"/>
          <w:b/>
          <w:bCs/>
          <w:color w:val="000000" w:themeColor="text1"/>
          <w:sz w:val="20"/>
          <w:szCs w:val="20"/>
        </w:rPr>
        <w:t>3</w:t>
      </w:r>
      <w:r w:rsidRPr="00EB3687">
        <w:rPr>
          <w:rFonts w:eastAsia="Calibri" w:cs="Calibri"/>
          <w:b/>
          <w:bCs/>
          <w:color w:val="000000" w:themeColor="text1"/>
          <w:sz w:val="20"/>
          <w:szCs w:val="20"/>
        </w:rPr>
        <w:t xml:space="preserve">: </w:t>
      </w:r>
      <w:r w:rsidR="5A8040AE" w:rsidRPr="00EB3687">
        <w:rPr>
          <w:rFonts w:eastAsia="Calibri" w:cs="Calibri"/>
          <w:bCs/>
          <w:color w:val="000000" w:themeColor="text1"/>
          <w:sz w:val="20"/>
          <w:szCs w:val="20"/>
        </w:rPr>
        <w:t xml:space="preserve">Permissions involving net gain in new office </w:t>
      </w:r>
      <w:proofErr w:type="spellStart"/>
      <w:r w:rsidR="5A8040AE" w:rsidRPr="00EB3687">
        <w:rPr>
          <w:rFonts w:eastAsia="Calibri" w:cs="Calibri"/>
          <w:bCs/>
          <w:color w:val="000000" w:themeColor="text1"/>
          <w:sz w:val="20"/>
          <w:szCs w:val="20"/>
        </w:rPr>
        <w:t>floorspace</w:t>
      </w:r>
      <w:proofErr w:type="spellEnd"/>
      <w:r w:rsidR="5A8040AE" w:rsidRPr="00EB3687">
        <w:rPr>
          <w:rFonts w:eastAsia="Calibri" w:cs="Calibri"/>
          <w:bCs/>
          <w:color w:val="000000" w:themeColor="text1"/>
          <w:sz w:val="20"/>
          <w:szCs w:val="20"/>
        </w:rPr>
        <w:t xml:space="preserve"> 2020/21</w:t>
      </w:r>
    </w:p>
    <w:p w14:paraId="0E3BBF07" w14:textId="4EDD6D8E" w:rsidR="0058440A" w:rsidRPr="002A0ECC" w:rsidRDefault="009832E8" w:rsidP="00F75A5C">
      <w:pPr>
        <w:pStyle w:val="Default"/>
        <w:spacing w:after="240"/>
        <w:rPr>
          <w:rFonts w:asciiTheme="minorHAnsi" w:hAnsiTheme="minorHAnsi" w:cstheme="minorHAnsi"/>
          <w:b/>
          <w:szCs w:val="20"/>
        </w:rPr>
      </w:pPr>
      <w:r>
        <w:rPr>
          <w:rFonts w:asciiTheme="minorHAnsi" w:hAnsiTheme="minorHAnsi" w:cstheme="minorHAnsi"/>
          <w:b/>
          <w:szCs w:val="20"/>
        </w:rPr>
        <w:t>Temporary changes of u</w:t>
      </w:r>
      <w:r w:rsidR="0058440A" w:rsidRPr="002A0ECC">
        <w:rPr>
          <w:rFonts w:asciiTheme="minorHAnsi" w:hAnsiTheme="minorHAnsi" w:cstheme="minorHAnsi"/>
          <w:b/>
          <w:szCs w:val="20"/>
        </w:rPr>
        <w:t>ses</w:t>
      </w:r>
    </w:p>
    <w:p w14:paraId="458C1090" w14:textId="45D2418B" w:rsidR="0058440A" w:rsidRPr="00A1220F" w:rsidRDefault="65439C45" w:rsidP="009978CB">
      <w:pPr>
        <w:keepNext/>
        <w:numPr>
          <w:ilvl w:val="1"/>
          <w:numId w:val="11"/>
        </w:numPr>
        <w:spacing w:after="200" w:line="276" w:lineRule="auto"/>
        <w:ind w:left="567" w:hanging="567"/>
        <w:jc w:val="both"/>
        <w:rPr>
          <w:rFonts w:eastAsiaTheme="minorEastAsia"/>
        </w:rPr>
      </w:pPr>
      <w:r>
        <w:t>Permission was granted for a temporary change of use of portions of 20-21 Park End Street from restaurant and residential dwelling to local community amenities and a number of co-working and private offices (20/01002/FUL).  The permission was granted for this use until 31 December 2022, and for that reason has not been considered as part of the figures.  The development is described in submission documents and officer reports as an intended ‘meanwhile’ use, and the permission does not appear to preclude future renewals of the temporary use or even a permanent change of use.  Any relevant changes will be monitored and included in future reports as they emerge.</w:t>
      </w:r>
    </w:p>
    <w:p w14:paraId="29644293" w14:textId="77777777" w:rsidR="0058440A" w:rsidRPr="002A0ECC" w:rsidRDefault="2A589756" w:rsidP="00F75A5C">
      <w:pPr>
        <w:pStyle w:val="Default"/>
        <w:spacing w:after="240"/>
        <w:rPr>
          <w:rFonts w:asciiTheme="minorHAnsi" w:hAnsiTheme="minorHAnsi" w:cstheme="minorHAnsi"/>
          <w:b/>
          <w:szCs w:val="20"/>
        </w:rPr>
      </w:pPr>
      <w:r w:rsidRPr="002A0ECC">
        <w:rPr>
          <w:rFonts w:asciiTheme="minorHAnsi" w:hAnsiTheme="minorHAnsi" w:cstheme="minorHAnsi"/>
          <w:b/>
          <w:szCs w:val="20"/>
        </w:rPr>
        <w:t>Applications for changes of use from office to residential which are subject to notification to the council</w:t>
      </w:r>
    </w:p>
    <w:p w14:paraId="065AC837" w14:textId="5FE30495" w:rsidR="0058440A" w:rsidRPr="00515B5B" w:rsidRDefault="0D1BE199" w:rsidP="009978CB">
      <w:pPr>
        <w:keepNext/>
        <w:numPr>
          <w:ilvl w:val="1"/>
          <w:numId w:val="11"/>
        </w:numPr>
        <w:spacing w:after="200" w:line="276" w:lineRule="auto"/>
        <w:ind w:left="567" w:hanging="567"/>
        <w:jc w:val="both"/>
        <w:rPr>
          <w:rFonts w:eastAsiaTheme="minorEastAsia"/>
        </w:rPr>
      </w:pPr>
      <w:r w:rsidRPr="00515B5B">
        <w:t>On 30 May 2013 the Government brought into force new permitted development rights which allow the conversion of B1a office space to C3 residential without the need for planning permission</w:t>
      </w:r>
      <w:r w:rsidR="002153D5">
        <w:rPr>
          <w:rStyle w:val="FootnoteReference"/>
        </w:rPr>
        <w:footnoteReference w:id="4"/>
      </w:r>
      <w:r w:rsidRPr="00515B5B">
        <w:t xml:space="preserve">. </w:t>
      </w:r>
      <w:r w:rsidRPr="108EF35C">
        <w:t xml:space="preserve">Table </w:t>
      </w:r>
      <w:r w:rsidR="33F1D301" w:rsidRPr="108EF35C">
        <w:t>4</w:t>
      </w:r>
      <w:r w:rsidRPr="00515B5B">
        <w:t xml:space="preserve"> shows the number of applications and the number of dwellings granted and refused prior approval since this system was introduced, and for which the city council could only consider flood risk, land contamination, highways and transport, and noise, and could not apply other normal local plan policies in determining the applications</w:t>
      </w:r>
      <w:r w:rsidR="287CA94F">
        <w:t>.</w:t>
      </w:r>
      <w:r w:rsidRPr="00515B5B">
        <w:t xml:space="preserve">  </w:t>
      </w:r>
    </w:p>
    <w:tbl>
      <w:tblPr>
        <w:tblW w:w="6939" w:type="dxa"/>
        <w:jc w:val="center"/>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CellMar>
          <w:left w:w="0" w:type="dxa"/>
          <w:right w:w="0" w:type="dxa"/>
        </w:tblCellMar>
        <w:tblLook w:val="04A0" w:firstRow="1" w:lastRow="0" w:firstColumn="1" w:lastColumn="0" w:noHBand="0" w:noVBand="1"/>
      </w:tblPr>
      <w:tblGrid>
        <w:gridCol w:w="1270"/>
        <w:gridCol w:w="1417"/>
        <w:gridCol w:w="13"/>
        <w:gridCol w:w="1404"/>
        <w:gridCol w:w="13"/>
        <w:gridCol w:w="1405"/>
        <w:gridCol w:w="13"/>
        <w:gridCol w:w="1404"/>
      </w:tblGrid>
      <w:tr w:rsidR="0058440A" w:rsidRPr="005F1833" w14:paraId="21E18E98" w14:textId="77777777" w:rsidTr="00AF3791">
        <w:trPr>
          <w:jc w:val="center"/>
        </w:trPr>
        <w:tc>
          <w:tcPr>
            <w:tcW w:w="1270" w:type="dxa"/>
            <w:vMerge w:val="restart"/>
            <w:shd w:val="clear" w:color="auto" w:fill="E2EFD9" w:themeFill="accent6" w:themeFillTint="33"/>
            <w:tcMar>
              <w:top w:w="0" w:type="dxa"/>
              <w:left w:w="108" w:type="dxa"/>
              <w:bottom w:w="0" w:type="dxa"/>
              <w:right w:w="108" w:type="dxa"/>
            </w:tcMar>
            <w:vAlign w:val="center"/>
            <w:hideMark/>
          </w:tcPr>
          <w:p w14:paraId="63BF8C0B" w14:textId="77777777" w:rsidR="0058440A" w:rsidRPr="005F1833" w:rsidRDefault="0058440A" w:rsidP="0058440A">
            <w:pPr>
              <w:jc w:val="center"/>
              <w:rPr>
                <w:rFonts w:cs="Calibri"/>
                <w:b/>
                <w:bCs/>
                <w:color w:val="262626" w:themeColor="text1" w:themeTint="D9"/>
                <w:sz w:val="20"/>
                <w:szCs w:val="20"/>
              </w:rPr>
            </w:pPr>
            <w:r w:rsidRPr="005F1833">
              <w:rPr>
                <w:rFonts w:cs="Calibri"/>
                <w:b/>
                <w:bCs/>
                <w:color w:val="262626" w:themeColor="text1" w:themeTint="D9"/>
                <w:sz w:val="20"/>
                <w:szCs w:val="20"/>
              </w:rPr>
              <w:t>Monitoring year</w:t>
            </w:r>
          </w:p>
        </w:tc>
        <w:tc>
          <w:tcPr>
            <w:tcW w:w="2847" w:type="dxa"/>
            <w:gridSpan w:val="4"/>
            <w:shd w:val="clear" w:color="auto" w:fill="E2EFD9" w:themeFill="accent6" w:themeFillTint="33"/>
            <w:tcMar>
              <w:top w:w="0" w:type="dxa"/>
              <w:left w:w="108" w:type="dxa"/>
              <w:bottom w:w="0" w:type="dxa"/>
              <w:right w:w="108" w:type="dxa"/>
            </w:tcMar>
            <w:vAlign w:val="center"/>
            <w:hideMark/>
          </w:tcPr>
          <w:p w14:paraId="466C6653" w14:textId="77777777" w:rsidR="0058440A" w:rsidRPr="005F1833" w:rsidRDefault="0058440A" w:rsidP="0058440A">
            <w:pPr>
              <w:jc w:val="center"/>
              <w:rPr>
                <w:rFonts w:cs="Calibri"/>
                <w:b/>
                <w:bCs/>
                <w:color w:val="262626" w:themeColor="text1" w:themeTint="D9"/>
                <w:sz w:val="20"/>
                <w:szCs w:val="20"/>
              </w:rPr>
            </w:pPr>
            <w:r w:rsidRPr="005F1833">
              <w:rPr>
                <w:rFonts w:cs="Calibri"/>
                <w:b/>
                <w:bCs/>
                <w:color w:val="262626" w:themeColor="text1" w:themeTint="D9"/>
                <w:sz w:val="20"/>
                <w:szCs w:val="20"/>
              </w:rPr>
              <w:t>Prior approval required</w:t>
            </w:r>
            <w:r>
              <w:rPr>
                <w:rFonts w:cs="Calibri"/>
                <w:b/>
                <w:bCs/>
                <w:color w:val="262626" w:themeColor="text1" w:themeTint="D9"/>
                <w:sz w:val="20"/>
                <w:szCs w:val="20"/>
              </w:rPr>
              <w:t xml:space="preserve"> </w:t>
            </w:r>
            <w:r w:rsidRPr="005F1833">
              <w:rPr>
                <w:rFonts w:cs="Calibri"/>
                <w:b/>
                <w:bCs/>
                <w:color w:val="262626" w:themeColor="text1" w:themeTint="D9"/>
                <w:sz w:val="20"/>
                <w:szCs w:val="20"/>
              </w:rPr>
              <w:t>and granted</w:t>
            </w:r>
          </w:p>
        </w:tc>
        <w:tc>
          <w:tcPr>
            <w:tcW w:w="2822" w:type="dxa"/>
            <w:gridSpan w:val="3"/>
            <w:shd w:val="clear" w:color="auto" w:fill="E2EFD9" w:themeFill="accent6" w:themeFillTint="33"/>
            <w:tcMar>
              <w:top w:w="0" w:type="dxa"/>
              <w:left w:w="108" w:type="dxa"/>
              <w:bottom w:w="0" w:type="dxa"/>
              <w:right w:w="108" w:type="dxa"/>
            </w:tcMar>
            <w:vAlign w:val="center"/>
            <w:hideMark/>
          </w:tcPr>
          <w:p w14:paraId="479E604F" w14:textId="77777777" w:rsidR="0058440A" w:rsidRPr="005F1833" w:rsidRDefault="0058440A" w:rsidP="0058440A">
            <w:pPr>
              <w:jc w:val="center"/>
              <w:rPr>
                <w:rFonts w:cs="Calibri"/>
                <w:b/>
                <w:bCs/>
                <w:color w:val="262626" w:themeColor="text1" w:themeTint="D9"/>
                <w:sz w:val="20"/>
                <w:szCs w:val="20"/>
              </w:rPr>
            </w:pPr>
            <w:r w:rsidRPr="005F1833">
              <w:rPr>
                <w:rFonts w:cs="Calibri"/>
                <w:b/>
                <w:bCs/>
                <w:color w:val="262626" w:themeColor="text1" w:themeTint="D9"/>
                <w:sz w:val="20"/>
                <w:szCs w:val="20"/>
              </w:rPr>
              <w:t>Prior approval required</w:t>
            </w:r>
            <w:r>
              <w:rPr>
                <w:rFonts w:cs="Calibri"/>
                <w:b/>
                <w:bCs/>
                <w:color w:val="262626" w:themeColor="text1" w:themeTint="D9"/>
                <w:sz w:val="20"/>
                <w:szCs w:val="20"/>
              </w:rPr>
              <w:t xml:space="preserve"> </w:t>
            </w:r>
            <w:r w:rsidRPr="005F1833">
              <w:rPr>
                <w:rFonts w:cs="Calibri"/>
                <w:b/>
                <w:bCs/>
                <w:color w:val="262626" w:themeColor="text1" w:themeTint="D9"/>
                <w:sz w:val="20"/>
                <w:szCs w:val="20"/>
              </w:rPr>
              <w:t>and refused</w:t>
            </w:r>
          </w:p>
        </w:tc>
      </w:tr>
      <w:tr w:rsidR="0058440A" w:rsidRPr="005F1833" w14:paraId="4FE3A194" w14:textId="77777777" w:rsidTr="00AF3791">
        <w:trPr>
          <w:jc w:val="center"/>
        </w:trPr>
        <w:tc>
          <w:tcPr>
            <w:tcW w:w="1270" w:type="dxa"/>
            <w:vMerge/>
            <w:vAlign w:val="center"/>
            <w:hideMark/>
          </w:tcPr>
          <w:p w14:paraId="6528132A" w14:textId="77777777" w:rsidR="0058440A" w:rsidRPr="00573F6D" w:rsidRDefault="0058440A" w:rsidP="0058440A">
            <w:pPr>
              <w:jc w:val="center"/>
              <w:rPr>
                <w:rFonts w:cs="Calibri"/>
                <w:b/>
                <w:bCs/>
                <w:color w:val="262626" w:themeColor="text1" w:themeTint="D9"/>
                <w:sz w:val="20"/>
                <w:szCs w:val="20"/>
              </w:rPr>
            </w:pPr>
          </w:p>
        </w:tc>
        <w:tc>
          <w:tcPr>
            <w:tcW w:w="1417" w:type="dxa"/>
            <w:shd w:val="clear" w:color="auto" w:fill="E2EFD9" w:themeFill="accent6" w:themeFillTint="33"/>
            <w:tcMar>
              <w:top w:w="0" w:type="dxa"/>
              <w:left w:w="108" w:type="dxa"/>
              <w:bottom w:w="0" w:type="dxa"/>
              <w:right w:w="108" w:type="dxa"/>
            </w:tcMar>
            <w:vAlign w:val="center"/>
            <w:hideMark/>
          </w:tcPr>
          <w:p w14:paraId="4D742A11" w14:textId="77777777" w:rsidR="0058440A" w:rsidRPr="00573F6D" w:rsidRDefault="0058440A" w:rsidP="0058440A">
            <w:pPr>
              <w:jc w:val="center"/>
              <w:rPr>
                <w:rFonts w:cs="Calibri"/>
                <w:color w:val="262626" w:themeColor="text1" w:themeTint="D9"/>
                <w:sz w:val="20"/>
                <w:szCs w:val="20"/>
              </w:rPr>
            </w:pPr>
            <w:r w:rsidRPr="00573F6D">
              <w:rPr>
                <w:rFonts w:cs="Calibri"/>
                <w:color w:val="262626" w:themeColor="text1" w:themeTint="D9"/>
                <w:sz w:val="20"/>
                <w:szCs w:val="20"/>
              </w:rPr>
              <w:t>No. Applications</w:t>
            </w:r>
          </w:p>
        </w:tc>
        <w:tc>
          <w:tcPr>
            <w:tcW w:w="1417" w:type="dxa"/>
            <w:gridSpan w:val="2"/>
            <w:shd w:val="clear" w:color="auto" w:fill="E2EFD9" w:themeFill="accent6" w:themeFillTint="33"/>
            <w:tcMar>
              <w:top w:w="0" w:type="dxa"/>
              <w:left w:w="108" w:type="dxa"/>
              <w:bottom w:w="0" w:type="dxa"/>
              <w:right w:w="108" w:type="dxa"/>
            </w:tcMar>
            <w:vAlign w:val="center"/>
            <w:hideMark/>
          </w:tcPr>
          <w:p w14:paraId="7C7EB905" w14:textId="77777777" w:rsidR="0058440A" w:rsidRPr="00573F6D" w:rsidRDefault="0058440A" w:rsidP="0058440A">
            <w:pPr>
              <w:jc w:val="center"/>
              <w:rPr>
                <w:rFonts w:cs="Calibri"/>
                <w:color w:val="262626" w:themeColor="text1" w:themeTint="D9"/>
                <w:sz w:val="20"/>
                <w:szCs w:val="20"/>
              </w:rPr>
            </w:pPr>
            <w:r w:rsidRPr="00573F6D">
              <w:rPr>
                <w:rFonts w:cs="Calibri"/>
                <w:color w:val="262626" w:themeColor="text1" w:themeTint="D9"/>
                <w:sz w:val="20"/>
                <w:szCs w:val="20"/>
              </w:rPr>
              <w:t>No. dwellings proposed</w:t>
            </w:r>
          </w:p>
        </w:tc>
        <w:tc>
          <w:tcPr>
            <w:tcW w:w="1418" w:type="dxa"/>
            <w:gridSpan w:val="2"/>
            <w:shd w:val="clear" w:color="auto" w:fill="E2EFD9" w:themeFill="accent6" w:themeFillTint="33"/>
            <w:tcMar>
              <w:top w:w="0" w:type="dxa"/>
              <w:left w:w="108" w:type="dxa"/>
              <w:bottom w:w="0" w:type="dxa"/>
              <w:right w:w="108" w:type="dxa"/>
            </w:tcMar>
            <w:vAlign w:val="center"/>
            <w:hideMark/>
          </w:tcPr>
          <w:p w14:paraId="248CF5C5" w14:textId="77777777" w:rsidR="0058440A" w:rsidRPr="00573F6D" w:rsidRDefault="0058440A" w:rsidP="0058440A">
            <w:pPr>
              <w:jc w:val="center"/>
              <w:rPr>
                <w:rFonts w:cs="Calibri"/>
                <w:color w:val="262626" w:themeColor="text1" w:themeTint="D9"/>
                <w:sz w:val="20"/>
                <w:szCs w:val="20"/>
              </w:rPr>
            </w:pPr>
            <w:r w:rsidRPr="00573F6D">
              <w:rPr>
                <w:rFonts w:cs="Calibri"/>
                <w:color w:val="262626" w:themeColor="text1" w:themeTint="D9"/>
                <w:sz w:val="20"/>
                <w:szCs w:val="20"/>
              </w:rPr>
              <w:t>No. Applications</w:t>
            </w:r>
          </w:p>
        </w:tc>
        <w:tc>
          <w:tcPr>
            <w:tcW w:w="1417" w:type="dxa"/>
            <w:gridSpan w:val="2"/>
            <w:shd w:val="clear" w:color="auto" w:fill="E2EFD9" w:themeFill="accent6" w:themeFillTint="33"/>
            <w:vAlign w:val="center"/>
            <w:hideMark/>
          </w:tcPr>
          <w:p w14:paraId="4EBD5145" w14:textId="77777777" w:rsidR="0058440A" w:rsidRPr="00573F6D" w:rsidRDefault="0058440A" w:rsidP="0058440A">
            <w:pPr>
              <w:jc w:val="center"/>
              <w:rPr>
                <w:rFonts w:cs="Calibri"/>
                <w:color w:val="262626" w:themeColor="text1" w:themeTint="D9"/>
                <w:sz w:val="20"/>
                <w:szCs w:val="20"/>
              </w:rPr>
            </w:pPr>
            <w:r w:rsidRPr="00573F6D">
              <w:rPr>
                <w:rFonts w:cs="Calibri"/>
                <w:color w:val="262626" w:themeColor="text1" w:themeTint="D9"/>
                <w:sz w:val="20"/>
                <w:szCs w:val="20"/>
              </w:rPr>
              <w:t>No. dwellings proposed</w:t>
            </w:r>
          </w:p>
        </w:tc>
      </w:tr>
      <w:tr w:rsidR="0058440A" w:rsidRPr="005F1833" w14:paraId="61DABB78" w14:textId="77777777" w:rsidTr="00AF3791">
        <w:trPr>
          <w:trHeight w:val="264"/>
          <w:jc w:val="center"/>
        </w:trPr>
        <w:tc>
          <w:tcPr>
            <w:tcW w:w="1270" w:type="dxa"/>
            <w:tcMar>
              <w:top w:w="0" w:type="dxa"/>
              <w:left w:w="108" w:type="dxa"/>
              <w:bottom w:w="0" w:type="dxa"/>
              <w:right w:w="108" w:type="dxa"/>
            </w:tcMar>
            <w:vAlign w:val="center"/>
            <w:hideMark/>
          </w:tcPr>
          <w:p w14:paraId="6ABA789D" w14:textId="77777777" w:rsidR="0058440A" w:rsidRPr="00387004" w:rsidRDefault="0058440A" w:rsidP="0058440A">
            <w:pPr>
              <w:jc w:val="center"/>
              <w:rPr>
                <w:rFonts w:cs="Calibri"/>
                <w:color w:val="262626" w:themeColor="text1" w:themeTint="D9"/>
                <w:sz w:val="20"/>
                <w:szCs w:val="20"/>
              </w:rPr>
            </w:pPr>
            <w:r w:rsidRPr="00387004">
              <w:rPr>
                <w:rFonts w:cs="Calibri"/>
                <w:color w:val="262626" w:themeColor="text1" w:themeTint="D9"/>
                <w:sz w:val="20"/>
                <w:szCs w:val="20"/>
              </w:rPr>
              <w:t>2013/14</w:t>
            </w:r>
          </w:p>
        </w:tc>
        <w:tc>
          <w:tcPr>
            <w:tcW w:w="1417" w:type="dxa"/>
            <w:tcMar>
              <w:top w:w="0" w:type="dxa"/>
              <w:left w:w="108" w:type="dxa"/>
              <w:bottom w:w="0" w:type="dxa"/>
              <w:right w:w="108" w:type="dxa"/>
            </w:tcMar>
            <w:vAlign w:val="center"/>
          </w:tcPr>
          <w:p w14:paraId="0EB214AD"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9</w:t>
            </w:r>
          </w:p>
        </w:tc>
        <w:tc>
          <w:tcPr>
            <w:tcW w:w="1417" w:type="dxa"/>
            <w:gridSpan w:val="2"/>
            <w:tcMar>
              <w:top w:w="0" w:type="dxa"/>
              <w:left w:w="108" w:type="dxa"/>
              <w:bottom w:w="0" w:type="dxa"/>
              <w:right w:w="108" w:type="dxa"/>
            </w:tcMar>
            <w:vAlign w:val="center"/>
          </w:tcPr>
          <w:p w14:paraId="60CFEB11"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167</w:t>
            </w:r>
          </w:p>
        </w:tc>
        <w:tc>
          <w:tcPr>
            <w:tcW w:w="1418" w:type="dxa"/>
            <w:gridSpan w:val="2"/>
            <w:shd w:val="clear" w:color="auto" w:fill="FFFFFF" w:themeFill="background1"/>
            <w:tcMar>
              <w:top w:w="0" w:type="dxa"/>
              <w:left w:w="108" w:type="dxa"/>
              <w:bottom w:w="0" w:type="dxa"/>
              <w:right w:w="108" w:type="dxa"/>
            </w:tcMar>
            <w:vAlign w:val="center"/>
          </w:tcPr>
          <w:p w14:paraId="2379CA30"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4</w:t>
            </w:r>
          </w:p>
        </w:tc>
        <w:tc>
          <w:tcPr>
            <w:tcW w:w="1417" w:type="dxa"/>
            <w:gridSpan w:val="2"/>
            <w:vAlign w:val="center"/>
          </w:tcPr>
          <w:p w14:paraId="124E5334"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70</w:t>
            </w:r>
          </w:p>
        </w:tc>
      </w:tr>
      <w:tr w:rsidR="0058440A" w:rsidRPr="005F1833" w14:paraId="0748FBFE" w14:textId="77777777" w:rsidTr="00AF3791">
        <w:trPr>
          <w:jc w:val="center"/>
        </w:trPr>
        <w:tc>
          <w:tcPr>
            <w:tcW w:w="1270" w:type="dxa"/>
            <w:tcMar>
              <w:top w:w="0" w:type="dxa"/>
              <w:left w:w="108" w:type="dxa"/>
              <w:bottom w:w="0" w:type="dxa"/>
              <w:right w:w="108" w:type="dxa"/>
            </w:tcMar>
            <w:vAlign w:val="center"/>
            <w:hideMark/>
          </w:tcPr>
          <w:p w14:paraId="1F56D2AC" w14:textId="77777777" w:rsidR="0058440A" w:rsidRPr="00387004" w:rsidRDefault="0058440A" w:rsidP="0058440A">
            <w:pPr>
              <w:jc w:val="center"/>
              <w:rPr>
                <w:rFonts w:cs="Calibri"/>
                <w:color w:val="262626" w:themeColor="text1" w:themeTint="D9"/>
                <w:sz w:val="20"/>
                <w:szCs w:val="20"/>
              </w:rPr>
            </w:pPr>
            <w:r w:rsidRPr="00387004">
              <w:rPr>
                <w:rFonts w:cs="Calibri"/>
                <w:color w:val="262626" w:themeColor="text1" w:themeTint="D9"/>
                <w:sz w:val="20"/>
                <w:szCs w:val="20"/>
              </w:rPr>
              <w:t>2014/15</w:t>
            </w:r>
          </w:p>
        </w:tc>
        <w:tc>
          <w:tcPr>
            <w:tcW w:w="1417" w:type="dxa"/>
            <w:tcMar>
              <w:top w:w="0" w:type="dxa"/>
              <w:left w:w="108" w:type="dxa"/>
              <w:bottom w:w="0" w:type="dxa"/>
              <w:right w:w="108" w:type="dxa"/>
            </w:tcMar>
            <w:vAlign w:val="center"/>
          </w:tcPr>
          <w:p w14:paraId="60DCCF6C"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9</w:t>
            </w:r>
          </w:p>
        </w:tc>
        <w:tc>
          <w:tcPr>
            <w:tcW w:w="1417" w:type="dxa"/>
            <w:gridSpan w:val="2"/>
            <w:tcMar>
              <w:top w:w="0" w:type="dxa"/>
              <w:left w:w="108" w:type="dxa"/>
              <w:bottom w:w="0" w:type="dxa"/>
              <w:right w:w="108" w:type="dxa"/>
            </w:tcMar>
            <w:vAlign w:val="center"/>
          </w:tcPr>
          <w:p w14:paraId="120E5241"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64</w:t>
            </w:r>
          </w:p>
        </w:tc>
        <w:tc>
          <w:tcPr>
            <w:tcW w:w="1418" w:type="dxa"/>
            <w:gridSpan w:val="2"/>
            <w:shd w:val="clear" w:color="auto" w:fill="FFFFFF" w:themeFill="background1"/>
            <w:tcMar>
              <w:top w:w="0" w:type="dxa"/>
              <w:left w:w="108" w:type="dxa"/>
              <w:bottom w:w="0" w:type="dxa"/>
              <w:right w:w="108" w:type="dxa"/>
            </w:tcMar>
          </w:tcPr>
          <w:p w14:paraId="4A76504B"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1</w:t>
            </w:r>
          </w:p>
        </w:tc>
        <w:tc>
          <w:tcPr>
            <w:tcW w:w="1417" w:type="dxa"/>
            <w:gridSpan w:val="2"/>
            <w:vAlign w:val="center"/>
          </w:tcPr>
          <w:p w14:paraId="37F32E6E"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1</w:t>
            </w:r>
          </w:p>
        </w:tc>
      </w:tr>
      <w:tr w:rsidR="0058440A" w:rsidRPr="005F1833" w14:paraId="46F25EAD" w14:textId="77777777" w:rsidTr="00AF3791">
        <w:trPr>
          <w:jc w:val="center"/>
        </w:trPr>
        <w:tc>
          <w:tcPr>
            <w:tcW w:w="1270" w:type="dxa"/>
            <w:tcMar>
              <w:top w:w="0" w:type="dxa"/>
              <w:left w:w="108" w:type="dxa"/>
              <w:bottom w:w="0" w:type="dxa"/>
              <w:right w:w="108" w:type="dxa"/>
            </w:tcMar>
            <w:vAlign w:val="center"/>
            <w:hideMark/>
          </w:tcPr>
          <w:p w14:paraId="15F8046F" w14:textId="77777777" w:rsidR="0058440A" w:rsidRPr="00387004" w:rsidRDefault="0058440A" w:rsidP="0058440A">
            <w:pPr>
              <w:jc w:val="center"/>
              <w:rPr>
                <w:rFonts w:cs="Calibri"/>
                <w:color w:val="262626" w:themeColor="text1" w:themeTint="D9"/>
                <w:sz w:val="20"/>
                <w:szCs w:val="20"/>
              </w:rPr>
            </w:pPr>
            <w:r w:rsidRPr="00387004">
              <w:rPr>
                <w:rFonts w:cs="Calibri"/>
                <w:color w:val="262626" w:themeColor="text1" w:themeTint="D9"/>
                <w:sz w:val="20"/>
                <w:szCs w:val="20"/>
              </w:rPr>
              <w:t>2015/16</w:t>
            </w:r>
          </w:p>
        </w:tc>
        <w:tc>
          <w:tcPr>
            <w:tcW w:w="1417" w:type="dxa"/>
            <w:tcMar>
              <w:top w:w="0" w:type="dxa"/>
              <w:left w:w="108" w:type="dxa"/>
              <w:bottom w:w="0" w:type="dxa"/>
              <w:right w:w="108" w:type="dxa"/>
            </w:tcMar>
            <w:vAlign w:val="center"/>
          </w:tcPr>
          <w:p w14:paraId="66CEE2E6"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10</w:t>
            </w:r>
          </w:p>
        </w:tc>
        <w:tc>
          <w:tcPr>
            <w:tcW w:w="1417" w:type="dxa"/>
            <w:gridSpan w:val="2"/>
            <w:tcMar>
              <w:top w:w="0" w:type="dxa"/>
              <w:left w:w="108" w:type="dxa"/>
              <w:bottom w:w="0" w:type="dxa"/>
              <w:right w:w="108" w:type="dxa"/>
            </w:tcMar>
            <w:vAlign w:val="center"/>
          </w:tcPr>
          <w:p w14:paraId="29E383D2"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39</w:t>
            </w:r>
          </w:p>
        </w:tc>
        <w:tc>
          <w:tcPr>
            <w:tcW w:w="1418" w:type="dxa"/>
            <w:gridSpan w:val="2"/>
            <w:shd w:val="clear" w:color="auto" w:fill="FFFFFF" w:themeFill="background1"/>
            <w:tcMar>
              <w:top w:w="0" w:type="dxa"/>
              <w:left w:w="108" w:type="dxa"/>
              <w:bottom w:w="0" w:type="dxa"/>
              <w:right w:w="108" w:type="dxa"/>
            </w:tcMar>
            <w:vAlign w:val="center"/>
          </w:tcPr>
          <w:p w14:paraId="1844E935"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1</w:t>
            </w:r>
          </w:p>
        </w:tc>
        <w:tc>
          <w:tcPr>
            <w:tcW w:w="1417" w:type="dxa"/>
            <w:gridSpan w:val="2"/>
            <w:vAlign w:val="center"/>
          </w:tcPr>
          <w:p w14:paraId="26B34888"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3</w:t>
            </w:r>
          </w:p>
        </w:tc>
      </w:tr>
      <w:tr w:rsidR="0058440A" w:rsidRPr="005F1833" w14:paraId="68318A04" w14:textId="77777777" w:rsidTr="00AF3791">
        <w:trPr>
          <w:jc w:val="center"/>
        </w:trPr>
        <w:tc>
          <w:tcPr>
            <w:tcW w:w="1270" w:type="dxa"/>
            <w:tcMar>
              <w:top w:w="0" w:type="dxa"/>
              <w:left w:w="108" w:type="dxa"/>
              <w:bottom w:w="0" w:type="dxa"/>
              <w:right w:w="108" w:type="dxa"/>
            </w:tcMar>
            <w:vAlign w:val="center"/>
          </w:tcPr>
          <w:p w14:paraId="5B26E172" w14:textId="77777777" w:rsidR="0058440A" w:rsidRPr="00387004" w:rsidRDefault="0058440A" w:rsidP="0058440A">
            <w:pPr>
              <w:jc w:val="center"/>
              <w:rPr>
                <w:rFonts w:cs="Calibri"/>
                <w:color w:val="262626" w:themeColor="text1" w:themeTint="D9"/>
                <w:sz w:val="20"/>
                <w:szCs w:val="20"/>
              </w:rPr>
            </w:pPr>
            <w:r w:rsidRPr="00387004">
              <w:rPr>
                <w:rFonts w:cs="Calibri"/>
                <w:color w:val="262626" w:themeColor="text1" w:themeTint="D9"/>
                <w:sz w:val="20"/>
                <w:szCs w:val="20"/>
              </w:rPr>
              <w:t>2016/17</w:t>
            </w:r>
          </w:p>
        </w:tc>
        <w:tc>
          <w:tcPr>
            <w:tcW w:w="1417" w:type="dxa"/>
            <w:tcMar>
              <w:top w:w="0" w:type="dxa"/>
              <w:left w:w="108" w:type="dxa"/>
              <w:bottom w:w="0" w:type="dxa"/>
              <w:right w:w="108" w:type="dxa"/>
            </w:tcMar>
            <w:vAlign w:val="center"/>
          </w:tcPr>
          <w:p w14:paraId="7DA3C101"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9</w:t>
            </w:r>
          </w:p>
        </w:tc>
        <w:tc>
          <w:tcPr>
            <w:tcW w:w="1417" w:type="dxa"/>
            <w:gridSpan w:val="2"/>
            <w:tcMar>
              <w:top w:w="0" w:type="dxa"/>
              <w:left w:w="108" w:type="dxa"/>
              <w:bottom w:w="0" w:type="dxa"/>
              <w:right w:w="108" w:type="dxa"/>
            </w:tcMar>
            <w:vAlign w:val="center"/>
          </w:tcPr>
          <w:p w14:paraId="0E304777" w14:textId="333E4062" w:rsidR="0058440A" w:rsidRPr="005F1833" w:rsidRDefault="2A589756" w:rsidP="0058440A">
            <w:pPr>
              <w:jc w:val="center"/>
              <w:rPr>
                <w:rFonts w:cs="Calibri"/>
                <w:color w:val="262626" w:themeColor="text1" w:themeTint="D9"/>
                <w:sz w:val="20"/>
                <w:szCs w:val="20"/>
              </w:rPr>
            </w:pPr>
            <w:r w:rsidRPr="108EF35C">
              <w:rPr>
                <w:rFonts w:cs="Calibri"/>
                <w:color w:val="262626" w:themeColor="text1" w:themeTint="D9"/>
                <w:sz w:val="20"/>
                <w:szCs w:val="20"/>
              </w:rPr>
              <w:t>113</w:t>
            </w:r>
          </w:p>
        </w:tc>
        <w:tc>
          <w:tcPr>
            <w:tcW w:w="1418" w:type="dxa"/>
            <w:gridSpan w:val="2"/>
            <w:shd w:val="clear" w:color="auto" w:fill="FFFFFF" w:themeFill="background1"/>
            <w:tcMar>
              <w:top w:w="0" w:type="dxa"/>
              <w:left w:w="108" w:type="dxa"/>
              <w:bottom w:w="0" w:type="dxa"/>
              <w:right w:w="108" w:type="dxa"/>
            </w:tcMar>
            <w:vAlign w:val="center"/>
          </w:tcPr>
          <w:p w14:paraId="6D325CB2"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2</w:t>
            </w:r>
          </w:p>
        </w:tc>
        <w:tc>
          <w:tcPr>
            <w:tcW w:w="1417" w:type="dxa"/>
            <w:gridSpan w:val="2"/>
            <w:vAlign w:val="center"/>
          </w:tcPr>
          <w:p w14:paraId="401B08E8"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96</w:t>
            </w:r>
          </w:p>
        </w:tc>
      </w:tr>
      <w:tr w:rsidR="0058440A" w:rsidRPr="005F1833" w14:paraId="77F4594D" w14:textId="77777777" w:rsidTr="00AF3791">
        <w:trPr>
          <w:jc w:val="center"/>
        </w:trPr>
        <w:tc>
          <w:tcPr>
            <w:tcW w:w="1270" w:type="dxa"/>
            <w:tcMar>
              <w:top w:w="0" w:type="dxa"/>
              <w:left w:w="108" w:type="dxa"/>
              <w:bottom w:w="0" w:type="dxa"/>
              <w:right w:w="108" w:type="dxa"/>
            </w:tcMar>
            <w:vAlign w:val="center"/>
          </w:tcPr>
          <w:p w14:paraId="4F889E35" w14:textId="77777777" w:rsidR="0058440A" w:rsidRPr="00387004" w:rsidRDefault="0058440A" w:rsidP="0058440A">
            <w:pPr>
              <w:jc w:val="center"/>
              <w:rPr>
                <w:rFonts w:cs="Calibri"/>
                <w:color w:val="262626" w:themeColor="text1" w:themeTint="D9"/>
                <w:sz w:val="20"/>
                <w:szCs w:val="20"/>
              </w:rPr>
            </w:pPr>
            <w:r w:rsidRPr="00387004">
              <w:rPr>
                <w:rFonts w:cs="Calibri"/>
                <w:color w:val="262626" w:themeColor="text1" w:themeTint="D9"/>
                <w:sz w:val="20"/>
                <w:szCs w:val="20"/>
              </w:rPr>
              <w:t>2017/18</w:t>
            </w:r>
          </w:p>
        </w:tc>
        <w:tc>
          <w:tcPr>
            <w:tcW w:w="1417" w:type="dxa"/>
            <w:tcMar>
              <w:top w:w="0" w:type="dxa"/>
              <w:left w:w="108" w:type="dxa"/>
              <w:bottom w:w="0" w:type="dxa"/>
              <w:right w:w="108" w:type="dxa"/>
            </w:tcMar>
            <w:vAlign w:val="center"/>
          </w:tcPr>
          <w:p w14:paraId="472A4087"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3</w:t>
            </w:r>
          </w:p>
        </w:tc>
        <w:tc>
          <w:tcPr>
            <w:tcW w:w="1417" w:type="dxa"/>
            <w:gridSpan w:val="2"/>
            <w:tcMar>
              <w:top w:w="0" w:type="dxa"/>
              <w:left w:w="108" w:type="dxa"/>
              <w:bottom w:w="0" w:type="dxa"/>
              <w:right w:w="108" w:type="dxa"/>
            </w:tcMar>
            <w:vAlign w:val="center"/>
          </w:tcPr>
          <w:p w14:paraId="3AFA5CC0"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 xml:space="preserve">141 </w:t>
            </w:r>
          </w:p>
        </w:tc>
        <w:tc>
          <w:tcPr>
            <w:tcW w:w="1418" w:type="dxa"/>
            <w:gridSpan w:val="2"/>
            <w:shd w:val="clear" w:color="auto" w:fill="FFFFFF" w:themeFill="background1"/>
            <w:tcMar>
              <w:top w:w="0" w:type="dxa"/>
              <w:left w:w="108" w:type="dxa"/>
              <w:bottom w:w="0" w:type="dxa"/>
              <w:right w:w="108" w:type="dxa"/>
            </w:tcMar>
            <w:vAlign w:val="center"/>
          </w:tcPr>
          <w:p w14:paraId="31C50632"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c>
          <w:tcPr>
            <w:tcW w:w="1417" w:type="dxa"/>
            <w:gridSpan w:val="2"/>
            <w:vAlign w:val="center"/>
          </w:tcPr>
          <w:p w14:paraId="6E8B7AD6"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r>
      <w:tr w:rsidR="0058440A" w:rsidRPr="005F1833" w14:paraId="45703F6C" w14:textId="77777777" w:rsidTr="00AF3791">
        <w:trPr>
          <w:jc w:val="center"/>
        </w:trPr>
        <w:tc>
          <w:tcPr>
            <w:tcW w:w="1270" w:type="dxa"/>
            <w:shd w:val="clear" w:color="auto" w:fill="auto"/>
            <w:tcMar>
              <w:top w:w="0" w:type="dxa"/>
              <w:left w:w="108" w:type="dxa"/>
              <w:bottom w:w="0" w:type="dxa"/>
              <w:right w:w="108" w:type="dxa"/>
            </w:tcMar>
            <w:vAlign w:val="center"/>
          </w:tcPr>
          <w:p w14:paraId="7412DF06" w14:textId="77777777" w:rsidR="0058440A" w:rsidRPr="00387004" w:rsidRDefault="0058440A" w:rsidP="0058440A">
            <w:pPr>
              <w:jc w:val="center"/>
              <w:rPr>
                <w:rFonts w:cs="Calibri"/>
                <w:color w:val="262626" w:themeColor="text1" w:themeTint="D9"/>
                <w:sz w:val="20"/>
                <w:szCs w:val="20"/>
              </w:rPr>
            </w:pPr>
            <w:r w:rsidRPr="00387004">
              <w:rPr>
                <w:rFonts w:cs="Calibri"/>
                <w:color w:val="262626" w:themeColor="text1" w:themeTint="D9"/>
                <w:sz w:val="20"/>
                <w:szCs w:val="20"/>
              </w:rPr>
              <w:lastRenderedPageBreak/>
              <w:t>2018/19</w:t>
            </w:r>
          </w:p>
        </w:tc>
        <w:tc>
          <w:tcPr>
            <w:tcW w:w="1430" w:type="dxa"/>
            <w:gridSpan w:val="2"/>
            <w:shd w:val="clear" w:color="auto" w:fill="auto"/>
            <w:tcMar>
              <w:top w:w="0" w:type="dxa"/>
              <w:left w:w="108" w:type="dxa"/>
              <w:bottom w:w="0" w:type="dxa"/>
              <w:right w:w="108" w:type="dxa"/>
            </w:tcMar>
            <w:vAlign w:val="center"/>
          </w:tcPr>
          <w:p w14:paraId="1302D35B"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1</w:t>
            </w:r>
          </w:p>
        </w:tc>
        <w:tc>
          <w:tcPr>
            <w:tcW w:w="1417" w:type="dxa"/>
            <w:gridSpan w:val="2"/>
            <w:shd w:val="clear" w:color="auto" w:fill="auto"/>
            <w:tcMar>
              <w:top w:w="0" w:type="dxa"/>
              <w:left w:w="108" w:type="dxa"/>
              <w:bottom w:w="0" w:type="dxa"/>
              <w:right w:w="108" w:type="dxa"/>
            </w:tcMar>
            <w:vAlign w:val="center"/>
          </w:tcPr>
          <w:p w14:paraId="6E730C5E"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3</w:t>
            </w:r>
          </w:p>
        </w:tc>
        <w:tc>
          <w:tcPr>
            <w:tcW w:w="1418" w:type="dxa"/>
            <w:gridSpan w:val="2"/>
            <w:shd w:val="clear" w:color="auto" w:fill="auto"/>
            <w:tcMar>
              <w:top w:w="0" w:type="dxa"/>
              <w:left w:w="108" w:type="dxa"/>
              <w:bottom w:w="0" w:type="dxa"/>
              <w:right w:w="108" w:type="dxa"/>
            </w:tcMar>
            <w:vAlign w:val="center"/>
          </w:tcPr>
          <w:p w14:paraId="4EAE68D6"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c>
          <w:tcPr>
            <w:tcW w:w="1404" w:type="dxa"/>
            <w:shd w:val="clear" w:color="auto" w:fill="auto"/>
            <w:vAlign w:val="center"/>
          </w:tcPr>
          <w:p w14:paraId="13F8A8CB"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r>
      <w:tr w:rsidR="0058440A" w:rsidRPr="005F1833" w14:paraId="2B765E72" w14:textId="77777777" w:rsidTr="00AF3791">
        <w:trPr>
          <w:jc w:val="center"/>
        </w:trPr>
        <w:tc>
          <w:tcPr>
            <w:tcW w:w="1270" w:type="dxa"/>
            <w:shd w:val="clear" w:color="auto" w:fill="auto"/>
            <w:tcMar>
              <w:top w:w="0" w:type="dxa"/>
              <w:left w:w="108" w:type="dxa"/>
              <w:bottom w:w="0" w:type="dxa"/>
              <w:right w:w="108" w:type="dxa"/>
            </w:tcMar>
            <w:vAlign w:val="center"/>
          </w:tcPr>
          <w:p w14:paraId="7E3DFD9A" w14:textId="77777777" w:rsidR="0058440A" w:rsidRPr="00387004" w:rsidRDefault="0058440A" w:rsidP="0058440A">
            <w:pPr>
              <w:jc w:val="center"/>
              <w:rPr>
                <w:rFonts w:cs="Calibri"/>
                <w:color w:val="262626" w:themeColor="text1" w:themeTint="D9"/>
                <w:sz w:val="20"/>
                <w:szCs w:val="20"/>
              </w:rPr>
            </w:pPr>
            <w:r w:rsidRPr="00387004">
              <w:rPr>
                <w:rFonts w:cs="Calibri"/>
                <w:color w:val="262626" w:themeColor="text1" w:themeTint="D9"/>
                <w:sz w:val="20"/>
                <w:szCs w:val="20"/>
              </w:rPr>
              <w:t>2019/20</w:t>
            </w:r>
          </w:p>
        </w:tc>
        <w:tc>
          <w:tcPr>
            <w:tcW w:w="1430" w:type="dxa"/>
            <w:gridSpan w:val="2"/>
            <w:shd w:val="clear" w:color="auto" w:fill="auto"/>
            <w:tcMar>
              <w:top w:w="0" w:type="dxa"/>
              <w:left w:w="108" w:type="dxa"/>
              <w:bottom w:w="0" w:type="dxa"/>
              <w:right w:w="108" w:type="dxa"/>
            </w:tcMar>
            <w:vAlign w:val="center"/>
          </w:tcPr>
          <w:p w14:paraId="2B370850" w14:textId="77777777" w:rsidR="0058440A" w:rsidRPr="005F1833" w:rsidRDefault="0058440A" w:rsidP="0058440A">
            <w:pPr>
              <w:jc w:val="center"/>
              <w:rPr>
                <w:rFonts w:cs="Calibri"/>
                <w:color w:val="262626" w:themeColor="text1" w:themeTint="D9"/>
                <w:sz w:val="20"/>
                <w:szCs w:val="20"/>
              </w:rPr>
            </w:pPr>
            <w:r w:rsidRPr="005F1833">
              <w:rPr>
                <w:rFonts w:cs="Calibri"/>
                <w:color w:val="262626" w:themeColor="text1" w:themeTint="D9"/>
                <w:sz w:val="20"/>
                <w:szCs w:val="20"/>
              </w:rPr>
              <w:t>1</w:t>
            </w:r>
          </w:p>
        </w:tc>
        <w:tc>
          <w:tcPr>
            <w:tcW w:w="1417" w:type="dxa"/>
            <w:gridSpan w:val="2"/>
            <w:shd w:val="clear" w:color="auto" w:fill="auto"/>
            <w:tcMar>
              <w:top w:w="0" w:type="dxa"/>
              <w:left w:w="108" w:type="dxa"/>
              <w:bottom w:w="0" w:type="dxa"/>
              <w:right w:w="108" w:type="dxa"/>
            </w:tcMar>
            <w:vAlign w:val="center"/>
          </w:tcPr>
          <w:p w14:paraId="7946B934" w14:textId="77777777" w:rsidR="0058440A" w:rsidRPr="005F1833" w:rsidRDefault="0058440A" w:rsidP="0058440A">
            <w:pPr>
              <w:jc w:val="center"/>
              <w:rPr>
                <w:rFonts w:cs="Calibri"/>
                <w:color w:val="262626" w:themeColor="text1" w:themeTint="D9"/>
                <w:sz w:val="20"/>
                <w:szCs w:val="20"/>
              </w:rPr>
            </w:pPr>
            <w:r>
              <w:rPr>
                <w:rFonts w:cs="Calibri"/>
                <w:color w:val="262626" w:themeColor="text1" w:themeTint="D9"/>
                <w:sz w:val="20"/>
                <w:szCs w:val="20"/>
              </w:rPr>
              <w:t>2</w:t>
            </w:r>
          </w:p>
        </w:tc>
        <w:tc>
          <w:tcPr>
            <w:tcW w:w="1418" w:type="dxa"/>
            <w:gridSpan w:val="2"/>
            <w:shd w:val="clear" w:color="auto" w:fill="auto"/>
            <w:tcMar>
              <w:top w:w="0" w:type="dxa"/>
              <w:left w:w="108" w:type="dxa"/>
              <w:bottom w:w="0" w:type="dxa"/>
              <w:right w:w="108" w:type="dxa"/>
            </w:tcMar>
            <w:vAlign w:val="center"/>
          </w:tcPr>
          <w:p w14:paraId="293BFF6C"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c>
          <w:tcPr>
            <w:tcW w:w="1404" w:type="dxa"/>
            <w:shd w:val="clear" w:color="auto" w:fill="auto"/>
            <w:vAlign w:val="center"/>
          </w:tcPr>
          <w:p w14:paraId="7DC28BB3" w14:textId="77777777" w:rsidR="0058440A" w:rsidRPr="005F1833" w:rsidRDefault="0058440A" w:rsidP="0058440A">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r>
      <w:tr w:rsidR="0058440A" w:rsidRPr="005F1833" w14:paraId="3F737F67" w14:textId="77777777" w:rsidTr="00AF3791">
        <w:trPr>
          <w:jc w:val="center"/>
        </w:trPr>
        <w:tc>
          <w:tcPr>
            <w:tcW w:w="1270" w:type="dxa"/>
            <w:shd w:val="clear" w:color="auto" w:fill="auto"/>
            <w:tcMar>
              <w:top w:w="0" w:type="dxa"/>
              <w:left w:w="108" w:type="dxa"/>
              <w:bottom w:w="0" w:type="dxa"/>
              <w:right w:w="108" w:type="dxa"/>
            </w:tcMar>
            <w:vAlign w:val="center"/>
          </w:tcPr>
          <w:p w14:paraId="7711FE2C" w14:textId="77777777" w:rsidR="0058440A" w:rsidRPr="008434E7" w:rsidRDefault="0058440A" w:rsidP="0058440A">
            <w:pPr>
              <w:jc w:val="center"/>
              <w:rPr>
                <w:rFonts w:cs="Calibri"/>
                <w:b/>
                <w:sz w:val="20"/>
                <w:szCs w:val="20"/>
              </w:rPr>
            </w:pPr>
            <w:r w:rsidRPr="008434E7">
              <w:rPr>
                <w:rFonts w:cs="Calibri"/>
                <w:b/>
                <w:sz w:val="20"/>
                <w:szCs w:val="20"/>
              </w:rPr>
              <w:t>2020/21</w:t>
            </w:r>
          </w:p>
        </w:tc>
        <w:tc>
          <w:tcPr>
            <w:tcW w:w="1430" w:type="dxa"/>
            <w:gridSpan w:val="2"/>
            <w:shd w:val="clear" w:color="auto" w:fill="auto"/>
            <w:tcMar>
              <w:top w:w="0" w:type="dxa"/>
              <w:left w:w="108" w:type="dxa"/>
              <w:bottom w:w="0" w:type="dxa"/>
              <w:right w:w="108" w:type="dxa"/>
            </w:tcMar>
            <w:vAlign w:val="center"/>
          </w:tcPr>
          <w:p w14:paraId="0850D81F" w14:textId="77777777" w:rsidR="0058440A" w:rsidRPr="008434E7" w:rsidRDefault="0058440A" w:rsidP="0058440A">
            <w:pPr>
              <w:jc w:val="center"/>
              <w:rPr>
                <w:rFonts w:cs="Calibri"/>
                <w:b/>
                <w:sz w:val="20"/>
                <w:szCs w:val="20"/>
              </w:rPr>
            </w:pPr>
            <w:r w:rsidRPr="008434E7">
              <w:rPr>
                <w:rFonts w:cs="Calibri"/>
                <w:b/>
                <w:sz w:val="20"/>
                <w:szCs w:val="20"/>
              </w:rPr>
              <w:t>8</w:t>
            </w:r>
          </w:p>
        </w:tc>
        <w:tc>
          <w:tcPr>
            <w:tcW w:w="1417" w:type="dxa"/>
            <w:gridSpan w:val="2"/>
            <w:shd w:val="clear" w:color="auto" w:fill="auto"/>
            <w:tcMar>
              <w:top w:w="0" w:type="dxa"/>
              <w:left w:w="108" w:type="dxa"/>
              <w:bottom w:w="0" w:type="dxa"/>
              <w:right w:w="108" w:type="dxa"/>
            </w:tcMar>
            <w:vAlign w:val="center"/>
          </w:tcPr>
          <w:p w14:paraId="207FD3BD" w14:textId="77777777" w:rsidR="0058440A" w:rsidRPr="008434E7" w:rsidRDefault="0058440A" w:rsidP="0058440A">
            <w:pPr>
              <w:jc w:val="center"/>
              <w:rPr>
                <w:rFonts w:cs="Calibri"/>
                <w:b/>
                <w:sz w:val="20"/>
                <w:szCs w:val="20"/>
              </w:rPr>
            </w:pPr>
            <w:r w:rsidRPr="008434E7">
              <w:rPr>
                <w:rFonts w:cs="Calibri"/>
                <w:b/>
                <w:sz w:val="20"/>
                <w:szCs w:val="20"/>
              </w:rPr>
              <w:t>17</w:t>
            </w:r>
          </w:p>
        </w:tc>
        <w:tc>
          <w:tcPr>
            <w:tcW w:w="1418" w:type="dxa"/>
            <w:gridSpan w:val="2"/>
            <w:shd w:val="clear" w:color="auto" w:fill="auto"/>
            <w:tcMar>
              <w:top w:w="0" w:type="dxa"/>
              <w:left w:w="108" w:type="dxa"/>
              <w:bottom w:w="0" w:type="dxa"/>
              <w:right w:w="108" w:type="dxa"/>
            </w:tcMar>
            <w:vAlign w:val="center"/>
          </w:tcPr>
          <w:p w14:paraId="62EAAF28" w14:textId="77777777" w:rsidR="0058440A" w:rsidRPr="008434E7" w:rsidRDefault="0058440A" w:rsidP="0058440A">
            <w:pPr>
              <w:spacing w:before="60" w:after="60"/>
              <w:jc w:val="center"/>
              <w:rPr>
                <w:rFonts w:cs="Calibri"/>
                <w:b/>
                <w:sz w:val="20"/>
                <w:szCs w:val="20"/>
              </w:rPr>
            </w:pPr>
            <w:r w:rsidRPr="008434E7">
              <w:rPr>
                <w:rFonts w:cs="Calibri"/>
                <w:b/>
                <w:sz w:val="20"/>
                <w:szCs w:val="20"/>
              </w:rPr>
              <w:t>1</w:t>
            </w:r>
          </w:p>
        </w:tc>
        <w:tc>
          <w:tcPr>
            <w:tcW w:w="1404" w:type="dxa"/>
            <w:shd w:val="clear" w:color="auto" w:fill="auto"/>
            <w:vAlign w:val="center"/>
          </w:tcPr>
          <w:p w14:paraId="604E85E5" w14:textId="77777777" w:rsidR="0058440A" w:rsidRPr="008434E7" w:rsidRDefault="0058440A" w:rsidP="0058440A">
            <w:pPr>
              <w:spacing w:before="60" w:after="60"/>
              <w:jc w:val="center"/>
              <w:rPr>
                <w:rFonts w:cs="Calibri"/>
                <w:b/>
                <w:sz w:val="20"/>
                <w:szCs w:val="20"/>
              </w:rPr>
            </w:pPr>
            <w:r w:rsidRPr="008434E7">
              <w:rPr>
                <w:rFonts w:cs="Calibri"/>
                <w:b/>
                <w:sz w:val="20"/>
                <w:szCs w:val="20"/>
              </w:rPr>
              <w:t>3</w:t>
            </w:r>
          </w:p>
        </w:tc>
      </w:tr>
    </w:tbl>
    <w:p w14:paraId="1831DF18" w14:textId="7638B5BB" w:rsidR="00515B5B" w:rsidRPr="00387004" w:rsidRDefault="0058440A" w:rsidP="00AF7B60">
      <w:pPr>
        <w:autoSpaceDE w:val="0"/>
        <w:autoSpaceDN w:val="0"/>
        <w:adjustRightInd w:val="0"/>
        <w:spacing w:before="240" w:after="200" w:line="276" w:lineRule="auto"/>
        <w:ind w:left="567" w:right="-46"/>
        <w:jc w:val="center"/>
        <w:rPr>
          <w:sz w:val="20"/>
          <w:szCs w:val="20"/>
        </w:rPr>
      </w:pPr>
      <w:r w:rsidRPr="00387004">
        <w:rPr>
          <w:rFonts w:eastAsia="Calibri" w:cs="Calibri"/>
          <w:b/>
          <w:bCs/>
          <w:color w:val="000000" w:themeColor="text1"/>
          <w:sz w:val="20"/>
          <w:szCs w:val="20"/>
        </w:rPr>
        <w:t xml:space="preserve">Table </w:t>
      </w:r>
      <w:r w:rsidR="76E273C2" w:rsidRPr="00387004">
        <w:rPr>
          <w:rFonts w:eastAsia="Calibri" w:cs="Calibri"/>
          <w:b/>
          <w:bCs/>
          <w:color w:val="000000" w:themeColor="text1"/>
          <w:sz w:val="20"/>
          <w:szCs w:val="20"/>
        </w:rPr>
        <w:t>4</w:t>
      </w:r>
      <w:r w:rsidRPr="00387004">
        <w:rPr>
          <w:rFonts w:eastAsia="Calibri" w:cs="Calibri"/>
          <w:b/>
          <w:bCs/>
          <w:color w:val="000000" w:themeColor="text1"/>
          <w:sz w:val="20"/>
          <w:szCs w:val="20"/>
        </w:rPr>
        <w:t xml:space="preserve">: </w:t>
      </w:r>
      <w:r w:rsidRPr="00387004">
        <w:rPr>
          <w:sz w:val="20"/>
          <w:szCs w:val="20"/>
        </w:rPr>
        <w:t xml:space="preserve">B1a office to C3 residential prior approval decisions 2013/14- 2020/21 </w:t>
      </w:r>
    </w:p>
    <w:p w14:paraId="7B5700E1" w14:textId="77777777" w:rsidR="0058440A" w:rsidRPr="005B2B13" w:rsidRDefault="0058440A" w:rsidP="0058440A">
      <w:pPr>
        <w:pStyle w:val="Heading2"/>
      </w:pPr>
      <w:bookmarkStart w:id="25" w:name="_Toc88135843"/>
      <w:r w:rsidRPr="005B2B13">
        <w:t>Growth of Oxford’s Universities</w:t>
      </w:r>
      <w:bookmarkEnd w:id="25"/>
    </w:p>
    <w:p w14:paraId="53C9A4E8" w14:textId="77777777" w:rsidR="0058440A" w:rsidRPr="0018231D" w:rsidRDefault="0058440A" w:rsidP="0058440A">
      <w:pPr>
        <w:pStyle w:val="Default"/>
        <w:rPr>
          <w:rFonts w:asciiTheme="minorHAnsi" w:hAnsiTheme="minorHAnsi" w:cstheme="minorHAnsi"/>
        </w:rPr>
      </w:pPr>
    </w:p>
    <w:p w14:paraId="13F7B5BE" w14:textId="35A2A583" w:rsidR="0058440A" w:rsidRPr="00A1220F" w:rsidRDefault="0D1BE199" w:rsidP="009978CB">
      <w:pPr>
        <w:keepNext/>
        <w:numPr>
          <w:ilvl w:val="1"/>
          <w:numId w:val="11"/>
        </w:numPr>
        <w:spacing w:after="200" w:line="276" w:lineRule="auto"/>
        <w:ind w:left="567" w:hanging="567"/>
        <w:jc w:val="both"/>
        <w:rPr>
          <w:rFonts w:eastAsiaTheme="minorEastAsia"/>
        </w:rPr>
      </w:pPr>
      <w:r>
        <w:t>The City Council is committed to supporting the sustainable growth of the two universities and thus maximising the related economic, social and cultural benefits which they bring to Oxford. However</w:t>
      </w:r>
      <w:r w:rsidR="18DBF8C9">
        <w:t>,</w:t>
      </w:r>
      <w:r>
        <w:t xml:space="preserve"> it is also recognise</w:t>
      </w:r>
      <w:r w:rsidR="0B87991E">
        <w:t>d</w:t>
      </w:r>
      <w:r>
        <w:t xml:space="preserve"> that the city is constrained spatially, with limited availability of land within the city boundary and competing demands for development sites in the city for several vital us</w:t>
      </w:r>
      <w:r w:rsidR="00EF2CB2">
        <w:t xml:space="preserve">es, most demonstrably housing. </w:t>
      </w:r>
      <w:r>
        <w:t>It is therefore important to balance these competing demands through planning policy by encouraging the best use of land</w:t>
      </w:r>
      <w:r w:rsidR="4DED9D1A">
        <w:t xml:space="preserve"> </w:t>
      </w:r>
      <w:r>
        <w:t xml:space="preserve">and ensuring that the growth of the </w:t>
      </w:r>
      <w:r w:rsidR="117606F7">
        <w:t>u</w:t>
      </w:r>
      <w:r>
        <w:t xml:space="preserve">niversities and their associated activities remains at sustainable levels and is focussed on the most suitable locations.  </w:t>
      </w:r>
    </w:p>
    <w:p w14:paraId="2F5C11EE" w14:textId="711A9FF2" w:rsidR="0058440A" w:rsidRPr="00A1220F" w:rsidRDefault="0D1BE199" w:rsidP="009978CB">
      <w:pPr>
        <w:keepNext/>
        <w:numPr>
          <w:ilvl w:val="1"/>
          <w:numId w:val="11"/>
        </w:numPr>
        <w:spacing w:after="200" w:line="276" w:lineRule="auto"/>
        <w:ind w:left="567" w:hanging="567"/>
        <w:jc w:val="both"/>
        <w:rPr>
          <w:rFonts w:eastAsiaTheme="minorEastAsia"/>
        </w:rPr>
      </w:pPr>
      <w:r>
        <w:t>The local plan encourages the universities to focus growth on their own sites, by making the best use of their current holdings as well as redevelopment and intensification as appropriate.  Both institutions have indicated that they have the potential to deliver more of their own needs in this way.  This policy approach is set out in Policy E2: Teaching and research, which states that planning permission will be granted to support the growth of the hospitals, through the redevelopment and intensification of their sites as set out in the site allocations, including to increase their teaching and research function.  This policy also requires that schemes for all new education, teaching and academic institutional proposals (excluding providers of statutory education) demonstrate how they support the objectives of the wider development plan and align with its other policies.</w:t>
      </w:r>
    </w:p>
    <w:p w14:paraId="0C46D0DD" w14:textId="31F8F41F" w:rsidR="0058440A" w:rsidRPr="00A1220F" w:rsidRDefault="0D1BE199" w:rsidP="009978CB">
      <w:pPr>
        <w:keepNext/>
        <w:numPr>
          <w:ilvl w:val="1"/>
          <w:numId w:val="11"/>
        </w:numPr>
        <w:spacing w:after="200" w:line="276" w:lineRule="auto"/>
        <w:ind w:left="567" w:hanging="567"/>
        <w:jc w:val="both"/>
        <w:rPr>
          <w:rFonts w:eastAsiaTheme="minorEastAsia"/>
        </w:rPr>
      </w:pPr>
      <w:r>
        <w:t xml:space="preserve">The other policy approach involves restricting the number of students that each university is permitted to have living outside of university- provided accommodation.  One strand of this approach is set out in Policy H9: Linking the delivery of new/redeveloped and refurbished university academic facilities to the delivery of university provided residential </w:t>
      </w:r>
      <w:r w:rsidR="6CB1DCC0">
        <w:t>accommodation which</w:t>
      </w:r>
      <w:r>
        <w:t xml:space="preserve"> does not permit new, redeveloped or refurbished academic </w:t>
      </w:r>
      <w:proofErr w:type="spellStart"/>
      <w:r>
        <w:t>floorspace</w:t>
      </w:r>
      <w:proofErr w:type="spellEnd"/>
      <w:r>
        <w:t xml:space="preserve"> unless the university has fewer than the threshold number of student numbers living outside of university-provided accommodation. The policy applies to university students on full-time taught degree courses of an academic year or more. These are the categories of student most suited to living in student accommodation.  </w:t>
      </w:r>
    </w:p>
    <w:p w14:paraId="66374265" w14:textId="36BA09B3" w:rsidR="0058440A" w:rsidRPr="00A1220F" w:rsidRDefault="0058440A" w:rsidP="00A1220F">
      <w:pPr>
        <w:pStyle w:val="Heading2"/>
      </w:pPr>
      <w:bookmarkStart w:id="26" w:name="_Toc88135844"/>
      <w:r w:rsidRPr="00B4215F">
        <w:t>University Student Number Thresholds</w:t>
      </w:r>
      <w:bookmarkEnd w:id="26"/>
    </w:p>
    <w:p w14:paraId="5037913A" w14:textId="6307C026" w:rsidR="0074123C" w:rsidRPr="00515B5B" w:rsidRDefault="65439C45" w:rsidP="009978CB">
      <w:pPr>
        <w:keepNext/>
        <w:numPr>
          <w:ilvl w:val="1"/>
          <w:numId w:val="11"/>
        </w:numPr>
        <w:spacing w:before="240" w:after="200" w:line="276" w:lineRule="auto"/>
        <w:ind w:left="567" w:hanging="567"/>
        <w:jc w:val="both"/>
        <w:rPr>
          <w:rFonts w:eastAsiaTheme="minorEastAsia"/>
        </w:rPr>
      </w:pPr>
      <w:r>
        <w:t xml:space="preserve">Policy H9 sets threshold figures for full-time taught degree course students to live outside of university-provided accommodation at no more than 2,500 for University of Oxford and no more than </w:t>
      </w:r>
      <w:r w:rsidR="3F601F8D">
        <w:t>4</w:t>
      </w:r>
      <w:r>
        <w:t>,</w:t>
      </w:r>
      <w:r w:rsidR="3F601F8D">
        <w:t>0</w:t>
      </w:r>
      <w:r>
        <w:t>00 for Oxford Brookes University.</w:t>
      </w:r>
      <w:r w:rsidR="3F601F8D">
        <w:t xml:space="preserve">  Because of the number of new rooms expected to come forward in the next few years, these thresholds will reduce to 1,500 University of </w:t>
      </w:r>
      <w:r w:rsidR="3F601F8D">
        <w:lastRenderedPageBreak/>
        <w:t>Oxford students by 2022 and potentially increase to 4,500 Oxford Brookes University students in 2023 or in 2030.</w:t>
      </w:r>
    </w:p>
    <w:p w14:paraId="70FAFC99" w14:textId="4C950BDB" w:rsidR="0058440A" w:rsidRPr="00515B5B" w:rsidRDefault="65439C45" w:rsidP="009978CB">
      <w:pPr>
        <w:keepNext/>
        <w:numPr>
          <w:ilvl w:val="1"/>
          <w:numId w:val="11"/>
        </w:numPr>
        <w:spacing w:after="200" w:line="276" w:lineRule="auto"/>
        <w:ind w:left="567" w:hanging="567"/>
        <w:jc w:val="both"/>
        <w:rPr>
          <w:rFonts w:eastAsiaTheme="minorEastAsia"/>
        </w:rPr>
      </w:pPr>
      <w:r>
        <w:t>The definition of students captured by the threshold has also changed in the Oxford Local Plan 2036 and applies only to full-time taught course students. Therefore, under the policy the number of students living outside of university managed accommodation for both universities would be within their respectively set threshold.</w:t>
      </w:r>
    </w:p>
    <w:p w14:paraId="61EDC56D" w14:textId="39291A98" w:rsidR="108EF35C" w:rsidRPr="00A1220F" w:rsidRDefault="0D1BE199" w:rsidP="009978CB">
      <w:pPr>
        <w:keepNext/>
        <w:numPr>
          <w:ilvl w:val="1"/>
          <w:numId w:val="11"/>
        </w:numPr>
        <w:spacing w:after="200" w:line="276" w:lineRule="auto"/>
        <w:ind w:left="567" w:hanging="567"/>
        <w:jc w:val="both"/>
        <w:rPr>
          <w:rFonts w:eastAsiaTheme="minorEastAsia"/>
        </w:rPr>
      </w:pPr>
      <w:r>
        <w:t>To inform each A</w:t>
      </w:r>
      <w:r w:rsidR="1740A344">
        <w:t>MR</w:t>
      </w:r>
      <w:r>
        <w:t xml:space="preserve"> the universities provide information relating to their student numbers and the number of student accommodation rooms they provide.  The monitoring period that the universities use does not directly coincide with the period of the AMR. The AMR follows the financial year and runs from April to March, whereas the universities use a period linked to the academic year in order to complete their forms for Government. The data used to assess this indicator was submitted by the two universities as relevant to the monitoring year in December 2020.</w:t>
      </w:r>
    </w:p>
    <w:p w14:paraId="38EE8C8D" w14:textId="77777777" w:rsidR="0058440A" w:rsidRPr="00EF2CB2" w:rsidRDefault="0058440A" w:rsidP="00EF2CB2">
      <w:pPr>
        <w:pStyle w:val="Heading2"/>
      </w:pPr>
      <w:bookmarkStart w:id="27" w:name="_Toc88135845"/>
      <w:r w:rsidRPr="00EF2CB2">
        <w:t>University of Oxford</w:t>
      </w:r>
      <w:bookmarkEnd w:id="27"/>
    </w:p>
    <w:p w14:paraId="089502D2" w14:textId="2BAFD4C0" w:rsidR="006F08F8" w:rsidRPr="00A1220F" w:rsidRDefault="0D1BE199" w:rsidP="009978CB">
      <w:pPr>
        <w:keepNext/>
        <w:numPr>
          <w:ilvl w:val="1"/>
          <w:numId w:val="11"/>
        </w:numPr>
        <w:spacing w:before="240" w:after="200" w:line="276" w:lineRule="auto"/>
        <w:ind w:left="567" w:hanging="567"/>
        <w:jc w:val="both"/>
        <w:rPr>
          <w:rFonts w:eastAsiaTheme="minorEastAsia"/>
        </w:rPr>
      </w:pPr>
      <w:r>
        <w:t>The University of Oxford states that there were 25,816 students attending the University (and its colleges) at 1 December 2020.</w:t>
      </w:r>
    </w:p>
    <w:p w14:paraId="10F207ED" w14:textId="6BDE5831" w:rsidR="006F08F8" w:rsidRPr="006F08F8" w:rsidRDefault="0D1BE199" w:rsidP="009978CB">
      <w:pPr>
        <w:keepNext/>
        <w:numPr>
          <w:ilvl w:val="1"/>
          <w:numId w:val="11"/>
        </w:numPr>
        <w:spacing w:after="200" w:line="276" w:lineRule="auto"/>
        <w:ind w:left="567" w:hanging="567"/>
        <w:jc w:val="both"/>
        <w:rPr>
          <w:rFonts w:eastAsiaTheme="minorEastAsia"/>
        </w:rPr>
      </w:pPr>
      <w:r>
        <w:t>A number of agreed exclusions apply to the data:</w:t>
      </w:r>
    </w:p>
    <w:p w14:paraId="097D3F69"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Part-time and short-course students (3,309)</w:t>
      </w:r>
    </w:p>
    <w:p w14:paraId="24F6583E"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Students studying a research based post-graduate degree (6,433)</w:t>
      </w:r>
    </w:p>
    <w:p w14:paraId="19A405BD"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Students studying a Further education course or a foundation degree (-)</w:t>
      </w:r>
    </w:p>
    <w:p w14:paraId="447CD483"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Vocational course students who will at times be training on work placements (190)</w:t>
      </w:r>
    </w:p>
    <w:p w14:paraId="03F18FEB"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Students with a term-time address outside of the city (OX1, 2, 3, 4) (694)</w:t>
      </w:r>
    </w:p>
    <w:p w14:paraId="652AD42E"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Students living within the city (OX1, 2, 3, 4) prior to entry onto a course (188)</w:t>
      </w:r>
    </w:p>
    <w:p w14:paraId="371AD030"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Students not attending the institution or studying at a franchise institution (40)</w:t>
      </w:r>
    </w:p>
    <w:p w14:paraId="1AB1955C"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Students studying outside Oxford (-)</w:t>
      </w:r>
    </w:p>
    <w:p w14:paraId="29BBAEAF"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Specific course exclusions (</w:t>
      </w:r>
      <w:proofErr w:type="spellStart"/>
      <w:r>
        <w:t>BTh</w:t>
      </w:r>
      <w:proofErr w:type="spellEnd"/>
      <w:r>
        <w:t xml:space="preserve"> Theology and MTh Applied Theology) (18)</w:t>
      </w:r>
    </w:p>
    <w:p w14:paraId="20293543" w14:textId="77777777" w:rsidR="0058440A" w:rsidRPr="00336AE1"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Students who also have an employment contract with the university (-)</w:t>
      </w:r>
    </w:p>
    <w:p w14:paraId="10E29EBD" w14:textId="01847276" w:rsidR="006F08F8" w:rsidRPr="00A1220F" w:rsidRDefault="0058440A" w:rsidP="009978CB">
      <w:pPr>
        <w:pStyle w:val="ListParagraph"/>
        <w:numPr>
          <w:ilvl w:val="0"/>
          <w:numId w:val="3"/>
        </w:numPr>
        <w:tabs>
          <w:tab w:val="left" w:pos="426"/>
        </w:tabs>
        <w:spacing w:after="200" w:line="276" w:lineRule="auto"/>
        <w:jc w:val="both"/>
        <w:rPr>
          <w:rFonts w:asciiTheme="minorHAnsi" w:eastAsiaTheme="minorEastAsia" w:hAnsiTheme="minorHAnsi" w:cstheme="minorBidi"/>
          <w:szCs w:val="22"/>
          <w:lang w:eastAsia="en-GB"/>
        </w:rPr>
      </w:pPr>
      <w:r>
        <w:t>Students on a year abroad and other placement students away from the university (220)</w:t>
      </w:r>
    </w:p>
    <w:p w14:paraId="163E7667" w14:textId="0698A0CF" w:rsidR="006F08F8" w:rsidRPr="000D0B09" w:rsidRDefault="4AD1D32F" w:rsidP="009978CB">
      <w:pPr>
        <w:keepNext/>
        <w:numPr>
          <w:ilvl w:val="1"/>
          <w:numId w:val="11"/>
        </w:numPr>
        <w:spacing w:after="200" w:line="276" w:lineRule="auto"/>
        <w:ind w:left="567" w:hanging="567"/>
        <w:jc w:val="both"/>
        <w:rPr>
          <w:rFonts w:eastAsiaTheme="minorEastAsia"/>
        </w:rPr>
      </w:pPr>
      <w:r>
        <w:t>Taking into account these exclusions, there were 14,724 full-time University of Oxford students with accommodation requirements. A</w:t>
      </w:r>
      <w:r w:rsidR="1A092024">
        <w:t>s a</w:t>
      </w:r>
      <w:r>
        <w:t>t 1 December 2020 there were 13</w:t>
      </w:r>
      <w:r w:rsidR="2FD7028A">
        <w:t>,</w:t>
      </w:r>
      <w:r>
        <w:t>715 accommodation places provided across the collegiate University. This leaves a total of 1,009 students living outside of university provided accommodation in Oxford</w:t>
      </w:r>
      <w:r w:rsidR="0AC29D8A">
        <w:t xml:space="preserve"> (Figure 1)</w:t>
      </w:r>
      <w:r>
        <w:t>, which is within the threshold of Oxford Local Plan 2036 (Policy H9).</w:t>
      </w:r>
      <w:r w:rsidR="11BDF945">
        <w:t xml:space="preserve"> </w:t>
      </w:r>
      <w:r>
        <w:t xml:space="preserve">The University has attributed the slight fall in </w:t>
      </w:r>
      <w:r>
        <w:lastRenderedPageBreak/>
        <w:t xml:space="preserve">total accommodation places </w:t>
      </w:r>
      <w:r w:rsidR="750EDC48">
        <w:t>from the previous monitoring period</w:t>
      </w:r>
      <w:r>
        <w:t xml:space="preserve"> to social distancing </w:t>
      </w:r>
      <w:r w:rsidR="47A8CDB7">
        <w:t>requirements but</w:t>
      </w:r>
      <w:r>
        <w:t xml:space="preserve"> expects a return to near normal levels for the 2021/22 academic year. </w:t>
      </w:r>
    </w:p>
    <w:p w14:paraId="569E1B47" w14:textId="46537989" w:rsidR="00E46DC8" w:rsidRPr="000D0B09" w:rsidRDefault="000D0B09" w:rsidP="000D0B09">
      <w:pPr>
        <w:keepNext/>
        <w:spacing w:after="200" w:line="276" w:lineRule="auto"/>
        <w:ind w:left="567"/>
        <w:jc w:val="both"/>
        <w:rPr>
          <w:rFonts w:eastAsiaTheme="minorEastAsia"/>
        </w:rPr>
      </w:pPr>
      <w:r>
        <w:rPr>
          <w:noProof/>
          <w:lang w:eastAsia="en-GB"/>
        </w:rPr>
        <w:drawing>
          <wp:inline distT="0" distB="0" distL="0" distR="0" wp14:anchorId="3FB0ED94" wp14:editId="72CFAEE6">
            <wp:extent cx="5731510" cy="2819400"/>
            <wp:effectExtent l="0" t="0" r="254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F524CA" w14:textId="63FDC8D5" w:rsidR="0058440A" w:rsidRPr="0094217C" w:rsidRDefault="00AF7B60" w:rsidP="00E46DC8">
      <w:pPr>
        <w:autoSpaceDE w:val="0"/>
        <w:autoSpaceDN w:val="0"/>
        <w:adjustRightInd w:val="0"/>
        <w:spacing w:before="240" w:line="276" w:lineRule="auto"/>
        <w:contextualSpacing/>
        <w:jc w:val="center"/>
        <w:rPr>
          <w:rFonts w:eastAsia="Calibri" w:cs="Calibri"/>
          <w:color w:val="000000" w:themeColor="text1"/>
          <w:sz w:val="20"/>
          <w:szCs w:val="20"/>
        </w:rPr>
      </w:pPr>
      <w:r>
        <w:rPr>
          <w:rFonts w:eastAsia="Calibri" w:cs="Calibri"/>
          <w:b/>
          <w:bCs/>
          <w:color w:val="000000" w:themeColor="text1"/>
          <w:sz w:val="20"/>
          <w:szCs w:val="20"/>
        </w:rPr>
        <w:t>F</w:t>
      </w:r>
      <w:r w:rsidR="2A589756" w:rsidRPr="0094217C">
        <w:rPr>
          <w:rFonts w:eastAsia="Calibri" w:cs="Calibri"/>
          <w:b/>
          <w:bCs/>
          <w:color w:val="000000" w:themeColor="text1"/>
          <w:sz w:val="20"/>
          <w:szCs w:val="20"/>
        </w:rPr>
        <w:t xml:space="preserve">igure </w:t>
      </w:r>
      <w:r w:rsidR="7F114225" w:rsidRPr="0094217C">
        <w:rPr>
          <w:rFonts w:eastAsia="Calibri" w:cs="Calibri"/>
          <w:b/>
          <w:bCs/>
          <w:color w:val="000000" w:themeColor="text1"/>
          <w:sz w:val="20"/>
          <w:szCs w:val="20"/>
        </w:rPr>
        <w:t>1</w:t>
      </w:r>
      <w:r w:rsidR="2A589756" w:rsidRPr="0094217C">
        <w:rPr>
          <w:rFonts w:eastAsia="Calibri" w:cs="Calibri"/>
          <w:b/>
          <w:bCs/>
          <w:color w:val="000000" w:themeColor="text1"/>
          <w:sz w:val="20"/>
          <w:szCs w:val="20"/>
        </w:rPr>
        <w:t xml:space="preserve">: </w:t>
      </w:r>
      <w:r w:rsidR="2A589756" w:rsidRPr="0094217C">
        <w:rPr>
          <w:rFonts w:eastAsia="Calibri" w:cs="Calibri"/>
          <w:color w:val="000000" w:themeColor="text1"/>
          <w:sz w:val="20"/>
          <w:szCs w:val="20"/>
        </w:rPr>
        <w:t>University of Oxford students living outside of university provided accommodation 2012/13-2020/2</w:t>
      </w:r>
      <w:r w:rsidR="2A589756" w:rsidRPr="0094217C">
        <w:rPr>
          <w:rFonts w:eastAsia="Calibri" w:cs="Calibri"/>
          <w:color w:val="000000"/>
          <w:sz w:val="20"/>
          <w:szCs w:val="20"/>
        </w:rPr>
        <w:t>1</w:t>
      </w:r>
    </w:p>
    <w:p w14:paraId="320D741D" w14:textId="1FC0CE5C" w:rsidR="00B4215F" w:rsidRPr="009832E8" w:rsidRDefault="6AF07A87" w:rsidP="009832E8">
      <w:pPr>
        <w:autoSpaceDE w:val="0"/>
        <w:autoSpaceDN w:val="0"/>
        <w:adjustRightInd w:val="0"/>
        <w:spacing w:before="240" w:line="276" w:lineRule="auto"/>
        <w:contextualSpacing/>
        <w:jc w:val="center"/>
        <w:rPr>
          <w:rFonts w:eastAsia="Calibri" w:cs="Calibri"/>
          <w:color w:val="000000"/>
          <w:sz w:val="20"/>
          <w:szCs w:val="20"/>
        </w:rPr>
      </w:pPr>
      <w:r w:rsidRPr="0094217C">
        <w:rPr>
          <w:rFonts w:eastAsia="Calibri" w:cs="Calibri"/>
          <w:color w:val="000000"/>
          <w:sz w:val="20"/>
          <w:szCs w:val="20"/>
        </w:rPr>
        <w:t xml:space="preserve">(*Note: Student numbers for </w:t>
      </w:r>
      <w:r w:rsidR="50D2A294" w:rsidRPr="0094217C">
        <w:rPr>
          <w:rFonts w:eastAsia="Calibri" w:cs="Calibri"/>
          <w:color w:val="000000"/>
          <w:sz w:val="20"/>
          <w:szCs w:val="20"/>
        </w:rPr>
        <w:t>2020/21</w:t>
      </w:r>
      <w:r w:rsidRPr="0094217C">
        <w:rPr>
          <w:rFonts w:eastAsia="Calibri" w:cs="Calibri"/>
          <w:color w:val="000000"/>
          <w:sz w:val="20"/>
          <w:szCs w:val="20"/>
        </w:rPr>
        <w:t xml:space="preserve"> have been rebased on Local Plan 2036)</w:t>
      </w:r>
    </w:p>
    <w:p w14:paraId="0A8234CA" w14:textId="77777777" w:rsidR="0058440A" w:rsidRPr="00B4215F" w:rsidRDefault="0058440A" w:rsidP="00B4215F">
      <w:pPr>
        <w:pStyle w:val="Heading2"/>
      </w:pPr>
      <w:bookmarkStart w:id="28" w:name="_Toc88135846"/>
      <w:r w:rsidRPr="00B4215F">
        <w:t>Oxford Brookes University</w:t>
      </w:r>
      <w:bookmarkEnd w:id="28"/>
    </w:p>
    <w:p w14:paraId="4B9F661F" w14:textId="3BED1064" w:rsidR="006F08F8" w:rsidRPr="00A1220F" w:rsidRDefault="0D1BE199" w:rsidP="009978CB">
      <w:pPr>
        <w:keepNext/>
        <w:numPr>
          <w:ilvl w:val="1"/>
          <w:numId w:val="11"/>
        </w:numPr>
        <w:spacing w:before="240" w:after="200" w:line="276" w:lineRule="auto"/>
        <w:ind w:left="567" w:hanging="567"/>
        <w:jc w:val="both"/>
        <w:rPr>
          <w:rFonts w:eastAsiaTheme="minorEastAsia"/>
        </w:rPr>
      </w:pPr>
      <w:r>
        <w:t xml:space="preserve">Oxford Brookes University states that there were a total of 16,878 students attending the university </w:t>
      </w:r>
      <w:r w:rsidR="49263946">
        <w:t xml:space="preserve">as </w:t>
      </w:r>
      <w:r w:rsidR="6A67EAC2">
        <w:t>of</w:t>
      </w:r>
      <w:r>
        <w:t xml:space="preserve"> 1 December 2020.</w:t>
      </w:r>
    </w:p>
    <w:p w14:paraId="08F6418D" w14:textId="77777777" w:rsidR="0058440A" w:rsidRPr="006F08F8" w:rsidRDefault="0D1BE199" w:rsidP="009978CB">
      <w:pPr>
        <w:keepNext/>
        <w:numPr>
          <w:ilvl w:val="1"/>
          <w:numId w:val="11"/>
        </w:numPr>
        <w:spacing w:after="200" w:line="276" w:lineRule="auto"/>
        <w:ind w:left="567" w:hanging="567"/>
        <w:jc w:val="both"/>
        <w:rPr>
          <w:rFonts w:eastAsiaTheme="minorEastAsia"/>
        </w:rPr>
      </w:pPr>
      <w:r>
        <w:t xml:space="preserve">A number of agreed exclusions apply to the data: </w:t>
      </w:r>
    </w:p>
    <w:p w14:paraId="6A3D7EA9" w14:textId="77777777" w:rsidR="0058440A" w:rsidRPr="00336AE1" w:rsidRDefault="0058440A" w:rsidP="009978CB">
      <w:pPr>
        <w:pStyle w:val="ListParagraph"/>
        <w:numPr>
          <w:ilvl w:val="0"/>
          <w:numId w:val="2"/>
        </w:numPr>
        <w:spacing w:after="200" w:line="276" w:lineRule="auto"/>
        <w:jc w:val="both"/>
        <w:rPr>
          <w:rFonts w:asciiTheme="minorHAnsi" w:eastAsiaTheme="minorEastAsia" w:hAnsiTheme="minorHAnsi" w:cstheme="minorBidi"/>
          <w:szCs w:val="22"/>
        </w:rPr>
      </w:pPr>
      <w:r>
        <w:t>Part-time students (2270 students)</w:t>
      </w:r>
    </w:p>
    <w:p w14:paraId="5430FB53" w14:textId="77777777" w:rsidR="0058440A" w:rsidRPr="00336AE1" w:rsidRDefault="0058440A" w:rsidP="009978CB">
      <w:pPr>
        <w:pStyle w:val="ListParagraph"/>
        <w:numPr>
          <w:ilvl w:val="0"/>
          <w:numId w:val="2"/>
        </w:numPr>
        <w:spacing w:after="200" w:line="276" w:lineRule="auto"/>
        <w:jc w:val="both"/>
        <w:rPr>
          <w:rFonts w:asciiTheme="minorHAnsi" w:eastAsiaTheme="minorEastAsia" w:hAnsiTheme="minorHAnsi" w:cstheme="minorBidi"/>
          <w:szCs w:val="22"/>
        </w:rPr>
      </w:pPr>
      <w:r>
        <w:t>Students studying at franchise institutions (1,027 students)</w:t>
      </w:r>
    </w:p>
    <w:p w14:paraId="76268880" w14:textId="4EA52194" w:rsidR="0058440A" w:rsidRPr="00336AE1" w:rsidRDefault="2A589756" w:rsidP="009978CB">
      <w:pPr>
        <w:pStyle w:val="ListParagraph"/>
        <w:numPr>
          <w:ilvl w:val="0"/>
          <w:numId w:val="2"/>
        </w:numPr>
        <w:spacing w:after="200" w:line="276" w:lineRule="auto"/>
        <w:jc w:val="both"/>
        <w:rPr>
          <w:rFonts w:asciiTheme="minorHAnsi" w:eastAsiaTheme="minorEastAsia" w:hAnsiTheme="minorHAnsi" w:cstheme="minorBidi"/>
          <w:szCs w:val="22"/>
        </w:rPr>
      </w:pPr>
      <w:r>
        <w:t>Students studying outside Oxford (</w:t>
      </w:r>
      <w:r w:rsidR="3DCA5A19">
        <w:t>i.e.,</w:t>
      </w:r>
      <w:r>
        <w:t xml:space="preserve"> Swindon campus) (318 students)</w:t>
      </w:r>
    </w:p>
    <w:p w14:paraId="3F4F7F2D" w14:textId="486D1141" w:rsidR="0058440A" w:rsidRPr="00336AE1" w:rsidRDefault="2A589756" w:rsidP="009978CB">
      <w:pPr>
        <w:pStyle w:val="ListParagraph"/>
        <w:numPr>
          <w:ilvl w:val="0"/>
          <w:numId w:val="2"/>
        </w:numPr>
        <w:spacing w:after="200" w:line="276" w:lineRule="auto"/>
        <w:jc w:val="both"/>
        <w:rPr>
          <w:rFonts w:asciiTheme="minorHAnsi" w:eastAsiaTheme="minorEastAsia" w:hAnsiTheme="minorHAnsi" w:cstheme="minorBidi"/>
          <w:szCs w:val="22"/>
        </w:rPr>
      </w:pPr>
      <w:r>
        <w:t>Students on a Further Education course (106)</w:t>
      </w:r>
    </w:p>
    <w:p w14:paraId="67CEB1BE" w14:textId="1F21941E" w:rsidR="0058440A" w:rsidRPr="00336AE1" w:rsidRDefault="2A589756" w:rsidP="009978CB">
      <w:pPr>
        <w:pStyle w:val="ListParagraph"/>
        <w:numPr>
          <w:ilvl w:val="0"/>
          <w:numId w:val="2"/>
        </w:numPr>
        <w:spacing w:after="200" w:line="276" w:lineRule="auto"/>
        <w:jc w:val="both"/>
        <w:rPr>
          <w:rFonts w:asciiTheme="minorHAnsi" w:eastAsiaTheme="minorEastAsia" w:hAnsiTheme="minorHAnsi" w:cstheme="minorBidi"/>
          <w:szCs w:val="22"/>
        </w:rPr>
      </w:pPr>
      <w:r>
        <w:t xml:space="preserve">Students on a </w:t>
      </w:r>
      <w:r w:rsidR="34BBCBF5">
        <w:t>research-based</w:t>
      </w:r>
      <w:r>
        <w:t xml:space="preserve"> PG degree (142)</w:t>
      </w:r>
    </w:p>
    <w:p w14:paraId="7F85C267" w14:textId="77777777" w:rsidR="0058440A" w:rsidRPr="00336AE1" w:rsidRDefault="0058440A" w:rsidP="009978CB">
      <w:pPr>
        <w:pStyle w:val="ListParagraph"/>
        <w:numPr>
          <w:ilvl w:val="0"/>
          <w:numId w:val="2"/>
        </w:numPr>
        <w:spacing w:after="200" w:line="276" w:lineRule="auto"/>
        <w:jc w:val="both"/>
        <w:rPr>
          <w:rFonts w:asciiTheme="minorHAnsi" w:eastAsiaTheme="minorEastAsia" w:hAnsiTheme="minorHAnsi" w:cstheme="minorBidi"/>
          <w:szCs w:val="22"/>
        </w:rPr>
      </w:pPr>
      <w:r>
        <w:t>Vocational Course students (1766)</w:t>
      </w:r>
    </w:p>
    <w:p w14:paraId="497FD756" w14:textId="77777777" w:rsidR="0058440A" w:rsidRPr="00336AE1" w:rsidRDefault="0058440A" w:rsidP="009978CB">
      <w:pPr>
        <w:pStyle w:val="ListParagraph"/>
        <w:numPr>
          <w:ilvl w:val="0"/>
          <w:numId w:val="2"/>
        </w:numPr>
        <w:spacing w:after="200" w:line="276" w:lineRule="auto"/>
        <w:jc w:val="both"/>
        <w:rPr>
          <w:rFonts w:asciiTheme="minorHAnsi" w:eastAsiaTheme="minorEastAsia" w:hAnsiTheme="minorHAnsi" w:cstheme="minorBidi"/>
          <w:szCs w:val="22"/>
        </w:rPr>
      </w:pPr>
      <w:r>
        <w:t>Students with a term-time address outside of the city (OX1, 2, 3, 4) (2297)</w:t>
      </w:r>
    </w:p>
    <w:p w14:paraId="4874EA10" w14:textId="77777777" w:rsidR="0058440A" w:rsidRPr="00336AE1" w:rsidRDefault="0058440A" w:rsidP="009978CB">
      <w:pPr>
        <w:pStyle w:val="ListParagraph"/>
        <w:numPr>
          <w:ilvl w:val="0"/>
          <w:numId w:val="2"/>
        </w:numPr>
        <w:spacing w:after="200" w:line="276" w:lineRule="auto"/>
        <w:jc w:val="both"/>
        <w:rPr>
          <w:rFonts w:asciiTheme="minorHAnsi" w:eastAsiaTheme="minorEastAsia" w:hAnsiTheme="minorHAnsi" w:cstheme="minorBidi"/>
          <w:szCs w:val="22"/>
        </w:rPr>
      </w:pPr>
      <w:r>
        <w:t>Students living within the city (OX1, 2, 3, 4) prior to entry onto a course (375)</w:t>
      </w:r>
    </w:p>
    <w:p w14:paraId="48445043" w14:textId="77777777" w:rsidR="0058440A" w:rsidRPr="00336AE1" w:rsidRDefault="0058440A" w:rsidP="009978CB">
      <w:pPr>
        <w:pStyle w:val="ListParagraph"/>
        <w:numPr>
          <w:ilvl w:val="0"/>
          <w:numId w:val="2"/>
        </w:numPr>
        <w:spacing w:after="200" w:line="276" w:lineRule="auto"/>
        <w:jc w:val="both"/>
        <w:rPr>
          <w:rFonts w:asciiTheme="minorHAnsi" w:eastAsiaTheme="minorEastAsia" w:hAnsiTheme="minorHAnsi" w:cstheme="minorBidi"/>
          <w:szCs w:val="22"/>
        </w:rPr>
      </w:pPr>
      <w:r>
        <w:t>Placement students away from the university (204 students)</w:t>
      </w:r>
    </w:p>
    <w:p w14:paraId="36200CAD" w14:textId="604AD888" w:rsidR="0058440A" w:rsidRPr="00A1220F" w:rsidRDefault="2A589756" w:rsidP="009978CB">
      <w:pPr>
        <w:pStyle w:val="ListParagraph"/>
        <w:numPr>
          <w:ilvl w:val="0"/>
          <w:numId w:val="2"/>
        </w:numPr>
        <w:spacing w:after="200" w:line="276" w:lineRule="auto"/>
        <w:jc w:val="both"/>
        <w:rPr>
          <w:rFonts w:asciiTheme="minorHAnsi" w:eastAsiaTheme="minorEastAsia" w:hAnsiTheme="minorHAnsi" w:cstheme="minorBidi"/>
          <w:szCs w:val="22"/>
        </w:rPr>
      </w:pPr>
      <w:r>
        <w:t>Private Student only accommodation (</w:t>
      </w:r>
      <w:r w:rsidR="2DCC9FFD">
        <w:t>e.g.,</w:t>
      </w:r>
      <w:r>
        <w:t xml:space="preserve"> Alice House, Slade Park) (209)</w:t>
      </w:r>
    </w:p>
    <w:p w14:paraId="642260C8" w14:textId="75A0A2E6" w:rsidR="0058440A" w:rsidRPr="000D0B09" w:rsidRDefault="0D1BE199" w:rsidP="009978CB">
      <w:pPr>
        <w:keepNext/>
        <w:numPr>
          <w:ilvl w:val="1"/>
          <w:numId w:val="11"/>
        </w:numPr>
        <w:spacing w:after="200" w:line="276" w:lineRule="auto"/>
        <w:ind w:left="567" w:hanging="567"/>
        <w:jc w:val="both"/>
        <w:rPr>
          <w:rFonts w:eastAsiaTheme="minorEastAsia"/>
        </w:rPr>
      </w:pPr>
      <w:r>
        <w:t>Taking into account these exclusions, there were 8</w:t>
      </w:r>
      <w:r w:rsidR="618CCF81">
        <w:t>,</w:t>
      </w:r>
      <w:r>
        <w:t>164 full-time Oxford Brookes University students with accommodation requirements. A</w:t>
      </w:r>
      <w:r w:rsidR="69E6BEBB">
        <w:t>s a</w:t>
      </w:r>
      <w:r>
        <w:t>t 1 December 2020 there were 5,291 accommodation places provided by Oxford Brookes University. This leaves a total of 2</w:t>
      </w:r>
      <w:r w:rsidR="7A9E6273">
        <w:t>,</w:t>
      </w:r>
      <w:r>
        <w:t xml:space="preserve">873 students without a place in university provided accommodation living in Oxford, </w:t>
      </w:r>
      <w:r w:rsidR="22A7EF7A">
        <w:t xml:space="preserve">which is </w:t>
      </w:r>
      <w:r w:rsidR="74EA7CC9">
        <w:t xml:space="preserve">below </w:t>
      </w:r>
      <w:r>
        <w:t>the threshold set in the Local Plan (Figure</w:t>
      </w:r>
      <w:r w:rsidR="1F27304B">
        <w:t xml:space="preserve"> 2</w:t>
      </w:r>
      <w:r>
        <w:t xml:space="preserve">).  It is noted from the University provided data, the </w:t>
      </w:r>
      <w:r>
        <w:lastRenderedPageBreak/>
        <w:t>occupancy rates of the University provided accommodation was at 87% overall, which is a reduction from previous monitoring years (94% in 2019/20 and 99% in 2018/19).</w:t>
      </w:r>
    </w:p>
    <w:p w14:paraId="30CCB358" w14:textId="0B6A5603" w:rsidR="00760A7A" w:rsidRPr="000D0B09" w:rsidRDefault="000D0B09" w:rsidP="000D0B09">
      <w:pPr>
        <w:keepNext/>
        <w:spacing w:after="200" w:line="276" w:lineRule="auto"/>
        <w:ind w:left="567"/>
        <w:jc w:val="center"/>
        <w:rPr>
          <w:rFonts w:eastAsiaTheme="minorEastAsia"/>
        </w:rPr>
      </w:pPr>
      <w:r>
        <w:rPr>
          <w:noProof/>
          <w:lang w:eastAsia="en-GB"/>
        </w:rPr>
        <w:drawing>
          <wp:inline distT="0" distB="0" distL="0" distR="0" wp14:anchorId="15C5EDDD" wp14:editId="0DC51DD5">
            <wp:extent cx="4860000" cy="3498850"/>
            <wp:effectExtent l="0" t="0" r="17145"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261323" w14:textId="38090D5D" w:rsidR="00B4215F" w:rsidRPr="002E0D84" w:rsidRDefault="2A589756" w:rsidP="002E0D84">
      <w:pPr>
        <w:autoSpaceDE w:val="0"/>
        <w:autoSpaceDN w:val="0"/>
        <w:adjustRightInd w:val="0"/>
        <w:spacing w:before="40"/>
        <w:jc w:val="center"/>
        <w:rPr>
          <w:rFonts w:ascii="Calibri" w:eastAsia="Calibri" w:hAnsi="Calibri" w:cs="Calibri"/>
          <w:sz w:val="20"/>
          <w:szCs w:val="20"/>
        </w:rPr>
      </w:pPr>
      <w:r w:rsidRPr="002E0D84">
        <w:rPr>
          <w:rFonts w:eastAsia="Calibri" w:cs="Calibri"/>
          <w:b/>
          <w:bCs/>
          <w:color w:val="000000" w:themeColor="text1"/>
          <w:sz w:val="20"/>
          <w:szCs w:val="20"/>
        </w:rPr>
        <w:t xml:space="preserve">Figure </w:t>
      </w:r>
      <w:r w:rsidR="156BE9F6" w:rsidRPr="002E0D84">
        <w:rPr>
          <w:rFonts w:eastAsia="Calibri" w:cs="Calibri"/>
          <w:b/>
          <w:bCs/>
          <w:color w:val="000000" w:themeColor="text1"/>
          <w:sz w:val="20"/>
          <w:szCs w:val="20"/>
        </w:rPr>
        <w:t>2</w:t>
      </w:r>
      <w:r w:rsidRPr="002E0D84">
        <w:rPr>
          <w:rFonts w:eastAsia="Calibri" w:cs="Calibri"/>
          <w:b/>
          <w:bCs/>
          <w:color w:val="000000" w:themeColor="text1"/>
          <w:sz w:val="20"/>
          <w:szCs w:val="20"/>
        </w:rPr>
        <w:t xml:space="preserve">: </w:t>
      </w:r>
      <w:r w:rsidR="4303548F" w:rsidRPr="002E0D84">
        <w:rPr>
          <w:rFonts w:eastAsia="Calibri" w:cs="Calibri"/>
          <w:color w:val="000000" w:themeColor="text1"/>
          <w:sz w:val="20"/>
          <w:szCs w:val="20"/>
        </w:rPr>
        <w:t>Oxford Brooke</w:t>
      </w:r>
      <w:r w:rsidRPr="002E0D84">
        <w:rPr>
          <w:rFonts w:eastAsia="Calibri" w:cs="Calibri"/>
          <w:color w:val="000000" w:themeColor="text1"/>
          <w:sz w:val="20"/>
          <w:szCs w:val="20"/>
        </w:rPr>
        <w:t>s</w:t>
      </w:r>
      <w:r w:rsidR="4303548F" w:rsidRPr="002E0D84">
        <w:rPr>
          <w:rFonts w:eastAsia="Calibri" w:cs="Calibri"/>
          <w:color w:val="000000" w:themeColor="text1"/>
          <w:sz w:val="20"/>
          <w:szCs w:val="20"/>
        </w:rPr>
        <w:t>’</w:t>
      </w:r>
      <w:r w:rsidRPr="002E0D84">
        <w:rPr>
          <w:rFonts w:eastAsia="Calibri" w:cs="Calibri"/>
          <w:color w:val="000000" w:themeColor="text1"/>
          <w:sz w:val="20"/>
          <w:szCs w:val="20"/>
        </w:rPr>
        <w:t xml:space="preserve"> students living outside of university</w:t>
      </w:r>
      <w:r w:rsidRPr="002E0D84">
        <w:rPr>
          <w:rFonts w:eastAsia="Calibri" w:cs="Times New Roman"/>
          <w:sz w:val="20"/>
          <w:szCs w:val="20"/>
        </w:rPr>
        <w:t xml:space="preserve"> </w:t>
      </w:r>
      <w:r w:rsidRPr="002E0D84">
        <w:rPr>
          <w:rFonts w:eastAsia="Calibri" w:cs="Calibri"/>
          <w:color w:val="000000" w:themeColor="text1"/>
          <w:sz w:val="20"/>
          <w:szCs w:val="20"/>
        </w:rPr>
        <w:t>provided accommodation 2012/13 – 2020/21</w:t>
      </w:r>
      <w:r w:rsidR="002E0D84">
        <w:rPr>
          <w:rFonts w:ascii="Calibri" w:eastAsia="Calibri" w:hAnsi="Calibri" w:cs="Calibri"/>
          <w:sz w:val="20"/>
          <w:szCs w:val="20"/>
        </w:rPr>
        <w:t xml:space="preserve"> </w:t>
      </w:r>
      <w:r w:rsidR="211EB48C" w:rsidRPr="73C076F8">
        <w:rPr>
          <w:rFonts w:ascii="Calibri" w:eastAsia="Calibri" w:hAnsi="Calibri" w:cs="Calibri"/>
          <w:color w:val="000000" w:themeColor="text1"/>
          <w:sz w:val="18"/>
          <w:szCs w:val="18"/>
        </w:rPr>
        <w:t xml:space="preserve">(*Note: Student numbers for </w:t>
      </w:r>
      <w:r w:rsidR="51A9EE40" w:rsidRPr="73C076F8">
        <w:rPr>
          <w:rFonts w:ascii="Calibri" w:eastAsia="Calibri" w:hAnsi="Calibri" w:cs="Calibri"/>
          <w:color w:val="000000" w:themeColor="text1"/>
          <w:sz w:val="18"/>
          <w:szCs w:val="18"/>
        </w:rPr>
        <w:t>2020/21</w:t>
      </w:r>
      <w:r w:rsidR="211EB48C" w:rsidRPr="73C076F8">
        <w:rPr>
          <w:rFonts w:ascii="Calibri" w:eastAsia="Calibri" w:hAnsi="Calibri" w:cs="Calibri"/>
          <w:color w:val="000000" w:themeColor="text1"/>
          <w:sz w:val="18"/>
          <w:szCs w:val="18"/>
        </w:rPr>
        <w:t xml:space="preserve"> have been rebased on Local Plan 2036)</w:t>
      </w:r>
    </w:p>
    <w:p w14:paraId="173CD11D" w14:textId="35CCAABC" w:rsidR="0058440A" w:rsidRPr="00B4215F" w:rsidRDefault="00B4215F" w:rsidP="009978CB">
      <w:pPr>
        <w:keepNext/>
        <w:numPr>
          <w:ilvl w:val="1"/>
          <w:numId w:val="11"/>
        </w:numPr>
        <w:spacing w:after="200" w:line="276" w:lineRule="auto"/>
        <w:ind w:left="567" w:hanging="567"/>
        <w:jc w:val="both"/>
      </w:pPr>
      <w:r>
        <w:t>W</w:t>
      </w:r>
      <w:r w:rsidR="0D1BE199">
        <w:t xml:space="preserve">hen </w:t>
      </w:r>
      <w:r w:rsidR="0D1BE199" w:rsidRPr="00B4215F">
        <w:t xml:space="preserve">compared to the previous monitoring year, there was a marked reduction </w:t>
      </w:r>
      <w:r w:rsidR="19FF27DF" w:rsidRPr="00B4215F">
        <w:t xml:space="preserve">in </w:t>
      </w:r>
      <w:r w:rsidR="0D1BE199" w:rsidRPr="00B4215F">
        <w:t>Oxford</w:t>
      </w:r>
      <w:r w:rsidR="0D1BE199">
        <w:t xml:space="preserve"> Brookes students living outside of university provided accommodation in the city in 2020/21. A more detailed breakdown of Oxford Brookes University’s student numbers is provided in Table </w:t>
      </w:r>
      <w:r w:rsidR="2835C332">
        <w:t>5</w:t>
      </w:r>
      <w:r w:rsidR="0D1BE199">
        <w:t>.</w:t>
      </w:r>
    </w:p>
    <w:tbl>
      <w:tblPr>
        <w:tblStyle w:val="TableGrid112"/>
        <w:tblW w:w="7370" w:type="dxa"/>
        <w:jc w:val="center"/>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417"/>
        <w:gridCol w:w="1417"/>
        <w:gridCol w:w="2268"/>
        <w:gridCol w:w="2268"/>
      </w:tblGrid>
      <w:tr w:rsidR="0058440A" w:rsidRPr="005F1833" w14:paraId="5EF7D3A1" w14:textId="77777777" w:rsidTr="0039024B">
        <w:trPr>
          <w:jc w:val="center"/>
        </w:trPr>
        <w:tc>
          <w:tcPr>
            <w:tcW w:w="1417" w:type="dxa"/>
            <w:shd w:val="clear" w:color="auto" w:fill="C5E0B3" w:themeFill="accent6" w:themeFillTint="66"/>
          </w:tcPr>
          <w:p w14:paraId="132F0108" w14:textId="77777777" w:rsidR="0058440A" w:rsidRPr="00376F6D" w:rsidRDefault="0058440A" w:rsidP="0058440A">
            <w:pPr>
              <w:jc w:val="center"/>
              <w:rPr>
                <w:rFonts w:asciiTheme="minorHAnsi" w:hAnsiTheme="minorHAnsi" w:cstheme="minorHAnsi"/>
                <w:b/>
                <w:color w:val="262626" w:themeColor="text1" w:themeTint="D9"/>
                <w:sz w:val="20"/>
                <w:szCs w:val="20"/>
              </w:rPr>
            </w:pPr>
            <w:r w:rsidRPr="00376F6D">
              <w:rPr>
                <w:rFonts w:asciiTheme="minorHAnsi" w:hAnsiTheme="minorHAnsi" w:cstheme="minorHAnsi"/>
                <w:b/>
                <w:color w:val="262626" w:themeColor="text1" w:themeTint="D9"/>
                <w:sz w:val="20"/>
                <w:szCs w:val="20"/>
              </w:rPr>
              <w:t>Monitoring year</w:t>
            </w:r>
          </w:p>
        </w:tc>
        <w:tc>
          <w:tcPr>
            <w:tcW w:w="1417" w:type="dxa"/>
            <w:shd w:val="clear" w:color="auto" w:fill="C5E0B3" w:themeFill="accent6" w:themeFillTint="66"/>
          </w:tcPr>
          <w:p w14:paraId="0D474BED" w14:textId="77777777" w:rsidR="0058440A" w:rsidRPr="00376F6D" w:rsidRDefault="0058440A" w:rsidP="0058440A">
            <w:pPr>
              <w:jc w:val="center"/>
              <w:rPr>
                <w:rFonts w:asciiTheme="minorHAnsi" w:hAnsiTheme="minorHAnsi" w:cstheme="minorHAnsi"/>
                <w:b/>
                <w:color w:val="262626" w:themeColor="text1" w:themeTint="D9"/>
                <w:sz w:val="20"/>
                <w:szCs w:val="20"/>
              </w:rPr>
            </w:pPr>
            <w:r w:rsidRPr="00376F6D">
              <w:rPr>
                <w:rFonts w:asciiTheme="minorHAnsi" w:hAnsiTheme="minorHAnsi" w:cstheme="minorHAnsi"/>
                <w:b/>
                <w:color w:val="262626" w:themeColor="text1" w:themeTint="D9"/>
                <w:sz w:val="20"/>
                <w:szCs w:val="20"/>
              </w:rPr>
              <w:t>Total Number of Students</w:t>
            </w:r>
          </w:p>
        </w:tc>
        <w:tc>
          <w:tcPr>
            <w:tcW w:w="2268" w:type="dxa"/>
            <w:shd w:val="clear" w:color="auto" w:fill="C5E0B3" w:themeFill="accent6" w:themeFillTint="66"/>
          </w:tcPr>
          <w:p w14:paraId="03388989" w14:textId="77777777" w:rsidR="0058440A" w:rsidRPr="00376F6D" w:rsidRDefault="0058440A" w:rsidP="0058440A">
            <w:pPr>
              <w:jc w:val="center"/>
              <w:rPr>
                <w:rFonts w:asciiTheme="minorHAnsi" w:hAnsiTheme="minorHAnsi" w:cstheme="minorHAnsi"/>
                <w:b/>
                <w:color w:val="262626" w:themeColor="text1" w:themeTint="D9"/>
                <w:sz w:val="20"/>
                <w:szCs w:val="20"/>
              </w:rPr>
            </w:pPr>
            <w:r w:rsidRPr="00376F6D">
              <w:rPr>
                <w:rFonts w:asciiTheme="minorHAnsi" w:hAnsiTheme="minorHAnsi" w:cstheme="minorHAnsi"/>
                <w:b/>
                <w:color w:val="262626" w:themeColor="text1" w:themeTint="D9"/>
                <w:sz w:val="20"/>
                <w:szCs w:val="20"/>
              </w:rPr>
              <w:t>Students needing accommodation in Oxford</w:t>
            </w:r>
          </w:p>
        </w:tc>
        <w:tc>
          <w:tcPr>
            <w:tcW w:w="2268" w:type="dxa"/>
            <w:shd w:val="clear" w:color="auto" w:fill="C5E0B3" w:themeFill="accent6" w:themeFillTint="66"/>
          </w:tcPr>
          <w:p w14:paraId="2B00F65B" w14:textId="77777777" w:rsidR="0058440A" w:rsidRPr="00376F6D" w:rsidRDefault="0058440A" w:rsidP="0058440A">
            <w:pPr>
              <w:jc w:val="center"/>
              <w:rPr>
                <w:rFonts w:asciiTheme="minorHAnsi" w:hAnsiTheme="minorHAnsi" w:cstheme="minorHAnsi"/>
                <w:b/>
                <w:color w:val="262626" w:themeColor="text1" w:themeTint="D9"/>
                <w:sz w:val="20"/>
                <w:szCs w:val="20"/>
              </w:rPr>
            </w:pPr>
            <w:r w:rsidRPr="00376F6D">
              <w:rPr>
                <w:rFonts w:asciiTheme="minorHAnsi" w:hAnsiTheme="minorHAnsi" w:cstheme="minorHAnsi"/>
                <w:b/>
                <w:color w:val="262626" w:themeColor="text1" w:themeTint="D9"/>
                <w:sz w:val="20"/>
                <w:szCs w:val="20"/>
              </w:rPr>
              <w:t>Units of University provided student accommodation</w:t>
            </w:r>
          </w:p>
        </w:tc>
      </w:tr>
      <w:tr w:rsidR="0058440A" w:rsidRPr="005F1833" w14:paraId="000F3009" w14:textId="77777777" w:rsidTr="0039024B">
        <w:trPr>
          <w:jc w:val="center"/>
        </w:trPr>
        <w:tc>
          <w:tcPr>
            <w:tcW w:w="1417" w:type="dxa"/>
            <w:shd w:val="clear" w:color="auto" w:fill="FFFFFF" w:themeFill="background1"/>
          </w:tcPr>
          <w:p w14:paraId="647EBEC6"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2012/13</w:t>
            </w:r>
          </w:p>
        </w:tc>
        <w:tc>
          <w:tcPr>
            <w:tcW w:w="1417" w:type="dxa"/>
            <w:shd w:val="clear" w:color="auto" w:fill="FFFFFF" w:themeFill="background1"/>
          </w:tcPr>
          <w:p w14:paraId="6D69925C"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17,115</w:t>
            </w:r>
          </w:p>
        </w:tc>
        <w:tc>
          <w:tcPr>
            <w:tcW w:w="2268" w:type="dxa"/>
            <w:shd w:val="clear" w:color="auto" w:fill="FFFFFF" w:themeFill="background1"/>
          </w:tcPr>
          <w:p w14:paraId="0620CADD"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7,909</w:t>
            </w:r>
          </w:p>
        </w:tc>
        <w:tc>
          <w:tcPr>
            <w:tcW w:w="2268" w:type="dxa"/>
            <w:shd w:val="clear" w:color="auto" w:fill="auto"/>
          </w:tcPr>
          <w:p w14:paraId="33132214"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5,073</w:t>
            </w:r>
          </w:p>
        </w:tc>
      </w:tr>
      <w:tr w:rsidR="0058440A" w:rsidRPr="005F1833" w14:paraId="79FEA9EF" w14:textId="77777777" w:rsidTr="0039024B">
        <w:trPr>
          <w:jc w:val="center"/>
        </w:trPr>
        <w:tc>
          <w:tcPr>
            <w:tcW w:w="1417" w:type="dxa"/>
            <w:shd w:val="clear" w:color="auto" w:fill="FFFFFF" w:themeFill="background1"/>
          </w:tcPr>
          <w:p w14:paraId="61B289C8"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2013/14</w:t>
            </w:r>
          </w:p>
        </w:tc>
        <w:tc>
          <w:tcPr>
            <w:tcW w:w="1417" w:type="dxa"/>
            <w:shd w:val="clear" w:color="auto" w:fill="FFFFFF" w:themeFill="background1"/>
          </w:tcPr>
          <w:p w14:paraId="195CA68F"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17,053</w:t>
            </w:r>
          </w:p>
        </w:tc>
        <w:tc>
          <w:tcPr>
            <w:tcW w:w="2268" w:type="dxa"/>
            <w:shd w:val="clear" w:color="auto" w:fill="FFFFFF" w:themeFill="background1"/>
          </w:tcPr>
          <w:p w14:paraId="126E8874"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8,319</w:t>
            </w:r>
          </w:p>
        </w:tc>
        <w:tc>
          <w:tcPr>
            <w:tcW w:w="2268" w:type="dxa"/>
            <w:shd w:val="clear" w:color="auto" w:fill="auto"/>
          </w:tcPr>
          <w:p w14:paraId="35758F13"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5,247</w:t>
            </w:r>
          </w:p>
        </w:tc>
      </w:tr>
      <w:tr w:rsidR="0058440A" w:rsidRPr="005F1833" w14:paraId="11EE3113" w14:textId="77777777" w:rsidTr="0039024B">
        <w:trPr>
          <w:jc w:val="center"/>
        </w:trPr>
        <w:tc>
          <w:tcPr>
            <w:tcW w:w="1417" w:type="dxa"/>
            <w:shd w:val="clear" w:color="auto" w:fill="FFFFFF" w:themeFill="background1"/>
          </w:tcPr>
          <w:p w14:paraId="39CA3474"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2014/15</w:t>
            </w:r>
          </w:p>
        </w:tc>
        <w:tc>
          <w:tcPr>
            <w:tcW w:w="1417" w:type="dxa"/>
            <w:shd w:val="clear" w:color="auto" w:fill="FFFFFF" w:themeFill="background1"/>
          </w:tcPr>
          <w:p w14:paraId="1D4B1F15"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16,553</w:t>
            </w:r>
          </w:p>
        </w:tc>
        <w:tc>
          <w:tcPr>
            <w:tcW w:w="2268" w:type="dxa"/>
            <w:shd w:val="clear" w:color="auto" w:fill="FFFFFF" w:themeFill="background1"/>
          </w:tcPr>
          <w:p w14:paraId="65F43368"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8,489</w:t>
            </w:r>
          </w:p>
        </w:tc>
        <w:tc>
          <w:tcPr>
            <w:tcW w:w="2268" w:type="dxa"/>
            <w:shd w:val="clear" w:color="auto" w:fill="auto"/>
          </w:tcPr>
          <w:p w14:paraId="64650142"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5,038</w:t>
            </w:r>
          </w:p>
        </w:tc>
      </w:tr>
      <w:tr w:rsidR="0058440A" w:rsidRPr="005F1833" w14:paraId="78BAB7A2" w14:textId="77777777" w:rsidTr="0039024B">
        <w:trPr>
          <w:jc w:val="center"/>
        </w:trPr>
        <w:tc>
          <w:tcPr>
            <w:tcW w:w="1417" w:type="dxa"/>
            <w:shd w:val="clear" w:color="auto" w:fill="auto"/>
          </w:tcPr>
          <w:p w14:paraId="79DD4F2F"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2015/16</w:t>
            </w:r>
          </w:p>
        </w:tc>
        <w:tc>
          <w:tcPr>
            <w:tcW w:w="1417" w:type="dxa"/>
            <w:shd w:val="clear" w:color="auto" w:fill="auto"/>
          </w:tcPr>
          <w:p w14:paraId="3A33C180"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17,149</w:t>
            </w:r>
          </w:p>
        </w:tc>
        <w:tc>
          <w:tcPr>
            <w:tcW w:w="2268" w:type="dxa"/>
            <w:shd w:val="clear" w:color="auto" w:fill="auto"/>
          </w:tcPr>
          <w:p w14:paraId="6E93160D"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8,954</w:t>
            </w:r>
          </w:p>
        </w:tc>
        <w:tc>
          <w:tcPr>
            <w:tcW w:w="2268" w:type="dxa"/>
            <w:shd w:val="clear" w:color="auto" w:fill="auto"/>
          </w:tcPr>
          <w:p w14:paraId="1BC1E6AA"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5,207</w:t>
            </w:r>
          </w:p>
        </w:tc>
      </w:tr>
      <w:tr w:rsidR="0058440A" w:rsidRPr="005F1833" w14:paraId="35EF7073" w14:textId="77777777" w:rsidTr="0039024B">
        <w:trPr>
          <w:jc w:val="center"/>
        </w:trPr>
        <w:tc>
          <w:tcPr>
            <w:tcW w:w="1417" w:type="dxa"/>
            <w:shd w:val="clear" w:color="auto" w:fill="FFFFFF" w:themeFill="background1"/>
          </w:tcPr>
          <w:p w14:paraId="2E23C4AE"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2016/17</w:t>
            </w:r>
          </w:p>
        </w:tc>
        <w:tc>
          <w:tcPr>
            <w:tcW w:w="1417" w:type="dxa"/>
            <w:shd w:val="clear" w:color="auto" w:fill="FFFFFF" w:themeFill="background1"/>
          </w:tcPr>
          <w:p w14:paraId="2D3D0062"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17,069</w:t>
            </w:r>
          </w:p>
        </w:tc>
        <w:tc>
          <w:tcPr>
            <w:tcW w:w="2268" w:type="dxa"/>
            <w:shd w:val="clear" w:color="auto" w:fill="FFFFFF" w:themeFill="background1"/>
          </w:tcPr>
          <w:p w14:paraId="184479C9"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9,504</w:t>
            </w:r>
          </w:p>
        </w:tc>
        <w:tc>
          <w:tcPr>
            <w:tcW w:w="2268" w:type="dxa"/>
            <w:shd w:val="clear" w:color="auto" w:fill="auto"/>
          </w:tcPr>
          <w:p w14:paraId="1600C0C1"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5,324</w:t>
            </w:r>
          </w:p>
        </w:tc>
      </w:tr>
      <w:tr w:rsidR="0058440A" w:rsidRPr="005F1833" w14:paraId="07AD25C0" w14:textId="77777777" w:rsidTr="0039024B">
        <w:trPr>
          <w:jc w:val="center"/>
        </w:trPr>
        <w:tc>
          <w:tcPr>
            <w:tcW w:w="1417" w:type="dxa"/>
            <w:shd w:val="clear" w:color="auto" w:fill="FFFFFF" w:themeFill="background1"/>
          </w:tcPr>
          <w:p w14:paraId="3DB9B86E"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2017/18</w:t>
            </w:r>
          </w:p>
        </w:tc>
        <w:tc>
          <w:tcPr>
            <w:tcW w:w="1417" w:type="dxa"/>
            <w:shd w:val="clear" w:color="auto" w:fill="FFFFFF" w:themeFill="background1"/>
          </w:tcPr>
          <w:p w14:paraId="18E526D6"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16,988</w:t>
            </w:r>
          </w:p>
        </w:tc>
        <w:tc>
          <w:tcPr>
            <w:tcW w:w="2268" w:type="dxa"/>
            <w:shd w:val="clear" w:color="auto" w:fill="FFFFFF" w:themeFill="background1"/>
          </w:tcPr>
          <w:p w14:paraId="2A0F8F2C"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9,494</w:t>
            </w:r>
          </w:p>
        </w:tc>
        <w:tc>
          <w:tcPr>
            <w:tcW w:w="2268" w:type="dxa"/>
            <w:shd w:val="clear" w:color="auto" w:fill="auto"/>
          </w:tcPr>
          <w:p w14:paraId="31F46400"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5,405</w:t>
            </w:r>
          </w:p>
        </w:tc>
      </w:tr>
      <w:tr w:rsidR="0058440A" w:rsidRPr="005F1833" w14:paraId="5A570F27" w14:textId="77777777" w:rsidTr="0039024B">
        <w:trPr>
          <w:jc w:val="center"/>
        </w:trPr>
        <w:tc>
          <w:tcPr>
            <w:tcW w:w="1417" w:type="dxa"/>
            <w:shd w:val="clear" w:color="auto" w:fill="FFFFFF" w:themeFill="background1"/>
          </w:tcPr>
          <w:p w14:paraId="188DF0BF"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2018/19</w:t>
            </w:r>
          </w:p>
        </w:tc>
        <w:tc>
          <w:tcPr>
            <w:tcW w:w="1417" w:type="dxa"/>
            <w:shd w:val="clear" w:color="auto" w:fill="FFFFFF" w:themeFill="background1"/>
          </w:tcPr>
          <w:p w14:paraId="1859997E"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16,579</w:t>
            </w:r>
          </w:p>
        </w:tc>
        <w:tc>
          <w:tcPr>
            <w:tcW w:w="2268" w:type="dxa"/>
            <w:shd w:val="clear" w:color="auto" w:fill="FFFFFF" w:themeFill="background1"/>
          </w:tcPr>
          <w:p w14:paraId="406242E7"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9,360</w:t>
            </w:r>
          </w:p>
        </w:tc>
        <w:tc>
          <w:tcPr>
            <w:tcW w:w="2268" w:type="dxa"/>
            <w:shd w:val="clear" w:color="auto" w:fill="auto"/>
          </w:tcPr>
          <w:p w14:paraId="14AD6060"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5,281</w:t>
            </w:r>
          </w:p>
        </w:tc>
      </w:tr>
      <w:tr w:rsidR="0058440A" w:rsidRPr="005F1833" w14:paraId="442CA05B" w14:textId="77777777" w:rsidTr="0039024B">
        <w:trPr>
          <w:jc w:val="center"/>
        </w:trPr>
        <w:tc>
          <w:tcPr>
            <w:tcW w:w="1417" w:type="dxa"/>
            <w:shd w:val="clear" w:color="auto" w:fill="auto"/>
          </w:tcPr>
          <w:p w14:paraId="58ED218F"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2019/20</w:t>
            </w:r>
          </w:p>
        </w:tc>
        <w:tc>
          <w:tcPr>
            <w:tcW w:w="1417" w:type="dxa"/>
            <w:shd w:val="clear" w:color="auto" w:fill="auto"/>
          </w:tcPr>
          <w:p w14:paraId="1C2D555A"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16,673</w:t>
            </w:r>
          </w:p>
        </w:tc>
        <w:tc>
          <w:tcPr>
            <w:tcW w:w="2268" w:type="dxa"/>
            <w:shd w:val="clear" w:color="auto" w:fill="auto"/>
          </w:tcPr>
          <w:p w14:paraId="12300E7A"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9,759</w:t>
            </w:r>
          </w:p>
        </w:tc>
        <w:tc>
          <w:tcPr>
            <w:tcW w:w="2268" w:type="dxa"/>
            <w:shd w:val="clear" w:color="auto" w:fill="auto"/>
          </w:tcPr>
          <w:p w14:paraId="58A81B50" w14:textId="77777777" w:rsidR="0058440A" w:rsidRPr="005F1833" w:rsidRDefault="0058440A" w:rsidP="0058440A">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5,914</w:t>
            </w:r>
          </w:p>
        </w:tc>
      </w:tr>
      <w:tr w:rsidR="0058440A" w:rsidRPr="005F1833" w14:paraId="2F4042AD" w14:textId="77777777" w:rsidTr="0039024B">
        <w:trPr>
          <w:jc w:val="center"/>
        </w:trPr>
        <w:tc>
          <w:tcPr>
            <w:tcW w:w="1417" w:type="dxa"/>
            <w:shd w:val="clear" w:color="auto" w:fill="auto"/>
          </w:tcPr>
          <w:p w14:paraId="7F10AA28" w14:textId="77777777" w:rsidR="0058440A" w:rsidRPr="00AF7B60" w:rsidRDefault="2A589756" w:rsidP="108EF35C">
            <w:pPr>
              <w:jc w:val="center"/>
              <w:rPr>
                <w:rFonts w:asciiTheme="minorHAnsi" w:hAnsiTheme="minorHAnsi" w:cstheme="minorBidi"/>
                <w:b/>
                <w:sz w:val="20"/>
                <w:szCs w:val="20"/>
              </w:rPr>
            </w:pPr>
            <w:r w:rsidRPr="00AF7B60">
              <w:rPr>
                <w:rFonts w:asciiTheme="minorHAnsi" w:hAnsiTheme="minorHAnsi" w:cstheme="minorBidi"/>
                <w:b/>
                <w:sz w:val="20"/>
                <w:szCs w:val="20"/>
              </w:rPr>
              <w:t>2020/21</w:t>
            </w:r>
          </w:p>
        </w:tc>
        <w:tc>
          <w:tcPr>
            <w:tcW w:w="1417" w:type="dxa"/>
            <w:shd w:val="clear" w:color="auto" w:fill="auto"/>
          </w:tcPr>
          <w:p w14:paraId="3D5CBE56" w14:textId="77777777" w:rsidR="0058440A" w:rsidRPr="00AF7B60" w:rsidRDefault="2A589756" w:rsidP="108EF35C">
            <w:pPr>
              <w:jc w:val="center"/>
              <w:rPr>
                <w:rFonts w:asciiTheme="minorHAnsi" w:hAnsiTheme="minorHAnsi" w:cstheme="minorBidi"/>
                <w:b/>
                <w:sz w:val="20"/>
                <w:szCs w:val="20"/>
              </w:rPr>
            </w:pPr>
            <w:r w:rsidRPr="00AF7B60">
              <w:rPr>
                <w:rFonts w:asciiTheme="minorHAnsi" w:hAnsiTheme="minorHAnsi" w:cstheme="minorBidi"/>
                <w:b/>
                <w:sz w:val="20"/>
                <w:szCs w:val="20"/>
              </w:rPr>
              <w:t>16,878</w:t>
            </w:r>
          </w:p>
        </w:tc>
        <w:tc>
          <w:tcPr>
            <w:tcW w:w="2268" w:type="dxa"/>
            <w:shd w:val="clear" w:color="auto" w:fill="auto"/>
          </w:tcPr>
          <w:p w14:paraId="29FEC22F" w14:textId="77777777" w:rsidR="0058440A" w:rsidRPr="00AF7B60" w:rsidRDefault="2A589756" w:rsidP="108EF35C">
            <w:pPr>
              <w:jc w:val="center"/>
              <w:rPr>
                <w:rFonts w:asciiTheme="minorHAnsi" w:hAnsiTheme="minorHAnsi" w:cstheme="minorBidi"/>
                <w:b/>
                <w:sz w:val="20"/>
                <w:szCs w:val="20"/>
              </w:rPr>
            </w:pPr>
            <w:r w:rsidRPr="00AF7B60">
              <w:rPr>
                <w:rFonts w:asciiTheme="minorHAnsi" w:hAnsiTheme="minorHAnsi" w:cstheme="minorBidi"/>
                <w:b/>
                <w:sz w:val="20"/>
                <w:szCs w:val="20"/>
              </w:rPr>
              <w:t>8,164</w:t>
            </w:r>
          </w:p>
        </w:tc>
        <w:tc>
          <w:tcPr>
            <w:tcW w:w="2268" w:type="dxa"/>
            <w:shd w:val="clear" w:color="auto" w:fill="auto"/>
          </w:tcPr>
          <w:p w14:paraId="2D6C4FDB" w14:textId="77777777" w:rsidR="0058440A" w:rsidRPr="00AF7B60" w:rsidRDefault="2A589756" w:rsidP="108EF35C">
            <w:pPr>
              <w:jc w:val="center"/>
              <w:rPr>
                <w:rFonts w:asciiTheme="minorHAnsi" w:hAnsiTheme="minorHAnsi" w:cstheme="minorBidi"/>
                <w:b/>
                <w:sz w:val="20"/>
                <w:szCs w:val="20"/>
              </w:rPr>
            </w:pPr>
            <w:r w:rsidRPr="00AF7B60">
              <w:rPr>
                <w:rFonts w:asciiTheme="minorHAnsi" w:hAnsiTheme="minorHAnsi" w:cstheme="minorBidi"/>
                <w:b/>
                <w:sz w:val="20"/>
                <w:szCs w:val="20"/>
              </w:rPr>
              <w:t>5,291</w:t>
            </w:r>
          </w:p>
        </w:tc>
      </w:tr>
    </w:tbl>
    <w:p w14:paraId="4F4AB094" w14:textId="079F4341" w:rsidR="0058440A" w:rsidRPr="00E46DC8" w:rsidRDefault="2A589756" w:rsidP="00760A7A">
      <w:pPr>
        <w:autoSpaceDE w:val="0"/>
        <w:autoSpaceDN w:val="0"/>
        <w:adjustRightInd w:val="0"/>
        <w:spacing w:before="240"/>
        <w:ind w:right="-45"/>
        <w:jc w:val="center"/>
        <w:rPr>
          <w:rFonts w:eastAsia="Calibri" w:cs="Calibri"/>
          <w:color w:val="000000"/>
          <w:sz w:val="20"/>
          <w:szCs w:val="20"/>
        </w:rPr>
      </w:pPr>
      <w:r w:rsidRPr="00E46DC8">
        <w:rPr>
          <w:rFonts w:eastAsia="Calibri" w:cs="Calibri"/>
          <w:b/>
          <w:bCs/>
          <w:color w:val="000000" w:themeColor="text1"/>
          <w:sz w:val="20"/>
          <w:szCs w:val="20"/>
        </w:rPr>
        <w:t xml:space="preserve">Table </w:t>
      </w:r>
      <w:r w:rsidR="74AAE348" w:rsidRPr="00E46DC8">
        <w:rPr>
          <w:rFonts w:eastAsia="Calibri" w:cs="Calibri"/>
          <w:b/>
          <w:bCs/>
          <w:color w:val="000000" w:themeColor="text1"/>
          <w:sz w:val="20"/>
          <w:szCs w:val="20"/>
        </w:rPr>
        <w:t>5</w:t>
      </w:r>
      <w:r w:rsidRPr="00E46DC8">
        <w:rPr>
          <w:rFonts w:eastAsia="Calibri" w:cs="Calibri"/>
          <w:b/>
          <w:bCs/>
          <w:color w:val="000000" w:themeColor="text1"/>
          <w:sz w:val="20"/>
          <w:szCs w:val="20"/>
        </w:rPr>
        <w:t xml:space="preserve">: </w:t>
      </w:r>
      <w:r w:rsidRPr="00E46DC8">
        <w:rPr>
          <w:rFonts w:eastAsia="Calibri" w:cs="Calibri"/>
          <w:color w:val="000000" w:themeColor="text1"/>
          <w:sz w:val="20"/>
          <w:szCs w:val="20"/>
        </w:rPr>
        <w:t xml:space="preserve">Oxford Brookes University’s student numbers </w:t>
      </w:r>
      <w:r w:rsidRPr="00E46DC8">
        <w:rPr>
          <w:rFonts w:eastAsia="Calibri" w:cs="Calibri"/>
          <w:sz w:val="20"/>
          <w:szCs w:val="20"/>
        </w:rPr>
        <w:t>2012/13 – 2020/21</w:t>
      </w:r>
    </w:p>
    <w:p w14:paraId="1ECD5511" w14:textId="0D18A999" w:rsidR="00B4215F" w:rsidRPr="00A1220F" w:rsidRDefault="0D1BE199" w:rsidP="009978CB">
      <w:pPr>
        <w:keepNext/>
        <w:numPr>
          <w:ilvl w:val="1"/>
          <w:numId w:val="11"/>
        </w:numPr>
        <w:spacing w:after="200" w:line="276" w:lineRule="auto"/>
        <w:ind w:left="567" w:hanging="567"/>
        <w:jc w:val="both"/>
        <w:rPr>
          <w:rFonts w:eastAsiaTheme="minorEastAsia"/>
        </w:rPr>
      </w:pPr>
      <w:r>
        <w:t xml:space="preserve">Oxford Brookes reports that the global pandemic has had a significant impact on student accommodation over the last year.  Occupancy rates at </w:t>
      </w:r>
      <w:r w:rsidR="4FEED41D">
        <w:t>u</w:t>
      </w:r>
      <w:r>
        <w:t xml:space="preserve">niversity accommodation were much lower than normal. A significant number of students were studying at home as they were either unable to travel, self-isolating or shielding, in accordance with Government and University </w:t>
      </w:r>
      <w:r>
        <w:lastRenderedPageBreak/>
        <w:t>guidance.  It is expected that Covid-19 will continue to have a knock-on impact on student accommodation over the coming year.</w:t>
      </w:r>
    </w:p>
    <w:p w14:paraId="2A4A18A2" w14:textId="77777777" w:rsidR="0058440A" w:rsidRPr="002A0ECC" w:rsidRDefault="0058440A" w:rsidP="0058440A">
      <w:pPr>
        <w:pStyle w:val="Default"/>
        <w:rPr>
          <w:rFonts w:asciiTheme="minorHAnsi" w:hAnsiTheme="minorHAnsi" w:cstheme="minorHAnsi"/>
          <w:b/>
          <w:szCs w:val="20"/>
        </w:rPr>
      </w:pPr>
      <w:r w:rsidRPr="002A0ECC">
        <w:rPr>
          <w:rFonts w:asciiTheme="minorHAnsi" w:hAnsiTheme="minorHAnsi" w:cstheme="minorHAnsi"/>
          <w:b/>
          <w:szCs w:val="20"/>
        </w:rPr>
        <w:t xml:space="preserve">Approved additional academic and administrative </w:t>
      </w:r>
      <w:proofErr w:type="spellStart"/>
      <w:r w:rsidRPr="002A0ECC">
        <w:rPr>
          <w:rFonts w:asciiTheme="minorHAnsi" w:hAnsiTheme="minorHAnsi" w:cstheme="minorHAnsi"/>
          <w:b/>
          <w:szCs w:val="20"/>
        </w:rPr>
        <w:t>floorspace</w:t>
      </w:r>
      <w:proofErr w:type="spellEnd"/>
    </w:p>
    <w:p w14:paraId="779FC01C" w14:textId="77777777" w:rsidR="0058440A" w:rsidRDefault="0058440A" w:rsidP="0058440A">
      <w:pPr>
        <w:pStyle w:val="Default"/>
        <w:rPr>
          <w:rFonts w:asciiTheme="minorHAnsi" w:hAnsiTheme="minorHAnsi" w:cstheme="minorHAnsi"/>
          <w:sz w:val="18"/>
          <w:szCs w:val="18"/>
        </w:rPr>
      </w:pPr>
    </w:p>
    <w:p w14:paraId="1C27B0DD" w14:textId="6EF6D06A" w:rsidR="0058440A" w:rsidRPr="00B4215F" w:rsidRDefault="0D1BE199" w:rsidP="009978CB">
      <w:pPr>
        <w:keepNext/>
        <w:numPr>
          <w:ilvl w:val="1"/>
          <w:numId w:val="11"/>
        </w:numPr>
        <w:spacing w:after="200" w:line="276" w:lineRule="auto"/>
        <w:ind w:left="567" w:hanging="567"/>
        <w:jc w:val="both"/>
        <w:rPr>
          <w:rStyle w:val="casenumber"/>
          <w:rFonts w:eastAsiaTheme="minorEastAsia"/>
        </w:rPr>
      </w:pPr>
      <w:r>
        <w:t xml:space="preserve">The following permissions involve the creation of additional academic and administrative </w:t>
      </w:r>
      <w:proofErr w:type="spellStart"/>
      <w:r>
        <w:t>floorspace</w:t>
      </w:r>
      <w:proofErr w:type="spellEnd"/>
      <w:r>
        <w:t>, which are compliant with the requirements of policies E2 and H9 unless stated otherwise.</w:t>
      </w:r>
    </w:p>
    <w:tbl>
      <w:tblPr>
        <w:tblStyle w:val="TableGrid"/>
        <w:tblW w:w="0" w:type="auto"/>
        <w:jc w:val="center"/>
        <w:tblLook w:val="04A0" w:firstRow="1" w:lastRow="0" w:firstColumn="1" w:lastColumn="0" w:noHBand="0" w:noVBand="1"/>
      </w:tblPr>
      <w:tblGrid>
        <w:gridCol w:w="1385"/>
        <w:gridCol w:w="1271"/>
        <w:gridCol w:w="1984"/>
        <w:gridCol w:w="1612"/>
        <w:gridCol w:w="1610"/>
      </w:tblGrid>
      <w:tr w:rsidR="0058440A" w:rsidRPr="00E37DF3" w14:paraId="0C16563C" w14:textId="77777777" w:rsidTr="0039024B">
        <w:trPr>
          <w:tblHeader/>
          <w:jc w:val="center"/>
        </w:trPr>
        <w:tc>
          <w:tcPr>
            <w:tcW w:w="1361" w:type="dxa"/>
          </w:tcPr>
          <w:p w14:paraId="39B8BC4B" w14:textId="77777777" w:rsidR="0058440A" w:rsidRPr="00E37DF3" w:rsidRDefault="0058440A" w:rsidP="0058440A">
            <w:pPr>
              <w:jc w:val="center"/>
              <w:rPr>
                <w:rStyle w:val="casenumber"/>
                <w:rFonts w:cstheme="minorHAnsi"/>
                <w:b/>
                <w:color w:val="333333"/>
                <w:sz w:val="20"/>
                <w:szCs w:val="20"/>
                <w:shd w:val="clear" w:color="auto" w:fill="FFFFFF"/>
              </w:rPr>
            </w:pPr>
            <w:r w:rsidRPr="00E37DF3">
              <w:rPr>
                <w:rStyle w:val="casenumber"/>
                <w:rFonts w:cstheme="minorHAnsi"/>
                <w:b/>
                <w:color w:val="333333"/>
                <w:sz w:val="20"/>
                <w:szCs w:val="20"/>
                <w:shd w:val="clear" w:color="auto" w:fill="FFFFFF"/>
              </w:rPr>
              <w:t>Application reference</w:t>
            </w:r>
          </w:p>
        </w:tc>
        <w:tc>
          <w:tcPr>
            <w:tcW w:w="1271" w:type="dxa"/>
          </w:tcPr>
          <w:p w14:paraId="7F1C50F3" w14:textId="77777777" w:rsidR="0058440A" w:rsidRPr="00E37DF3" w:rsidRDefault="0058440A" w:rsidP="0058440A">
            <w:pPr>
              <w:jc w:val="center"/>
              <w:rPr>
                <w:rStyle w:val="casenumber"/>
                <w:rFonts w:cstheme="minorHAnsi"/>
                <w:b/>
                <w:color w:val="333333"/>
                <w:sz w:val="20"/>
                <w:szCs w:val="20"/>
                <w:shd w:val="clear" w:color="auto" w:fill="FFFFFF"/>
              </w:rPr>
            </w:pPr>
            <w:r w:rsidRPr="00E37DF3">
              <w:rPr>
                <w:rStyle w:val="casenumber"/>
                <w:rFonts w:cstheme="minorHAnsi"/>
                <w:b/>
                <w:color w:val="333333"/>
                <w:sz w:val="20"/>
                <w:szCs w:val="20"/>
                <w:shd w:val="clear" w:color="auto" w:fill="FFFFFF"/>
              </w:rPr>
              <w:t>Site location</w:t>
            </w:r>
          </w:p>
        </w:tc>
        <w:tc>
          <w:tcPr>
            <w:tcW w:w="1984" w:type="dxa"/>
          </w:tcPr>
          <w:p w14:paraId="7C5A73F5" w14:textId="77777777" w:rsidR="0058440A" w:rsidRPr="00E37DF3" w:rsidRDefault="0058440A" w:rsidP="0058440A">
            <w:pPr>
              <w:jc w:val="center"/>
              <w:rPr>
                <w:rStyle w:val="casenumber"/>
                <w:rFonts w:cstheme="minorHAnsi"/>
                <w:b/>
                <w:color w:val="333333"/>
                <w:sz w:val="20"/>
                <w:szCs w:val="20"/>
                <w:shd w:val="clear" w:color="auto" w:fill="FFFFFF"/>
              </w:rPr>
            </w:pPr>
            <w:r w:rsidRPr="00E37DF3">
              <w:rPr>
                <w:rStyle w:val="casenumber"/>
                <w:rFonts w:cstheme="minorHAnsi"/>
                <w:b/>
                <w:color w:val="333333"/>
                <w:sz w:val="20"/>
                <w:szCs w:val="20"/>
                <w:shd w:val="clear" w:color="auto" w:fill="FFFFFF"/>
              </w:rPr>
              <w:t>Development summary</w:t>
            </w:r>
          </w:p>
        </w:tc>
        <w:tc>
          <w:tcPr>
            <w:tcW w:w="1612" w:type="dxa"/>
          </w:tcPr>
          <w:p w14:paraId="351F7D9C" w14:textId="77777777" w:rsidR="0058440A" w:rsidRPr="00E37DF3" w:rsidRDefault="0058440A" w:rsidP="0058440A">
            <w:pPr>
              <w:jc w:val="center"/>
              <w:rPr>
                <w:rStyle w:val="casenumber"/>
                <w:rFonts w:cstheme="minorHAnsi"/>
                <w:b/>
                <w:color w:val="333333"/>
                <w:sz w:val="20"/>
                <w:szCs w:val="20"/>
                <w:shd w:val="clear" w:color="auto" w:fill="FFFFFF"/>
              </w:rPr>
            </w:pPr>
            <w:r w:rsidRPr="00E37DF3">
              <w:rPr>
                <w:rStyle w:val="casenumber"/>
                <w:rFonts w:cstheme="minorHAnsi"/>
                <w:b/>
                <w:color w:val="333333"/>
                <w:sz w:val="20"/>
                <w:szCs w:val="20"/>
                <w:shd w:val="clear" w:color="auto" w:fill="FFFFFF"/>
              </w:rPr>
              <w:t xml:space="preserve">Net increase of academic/admin </w:t>
            </w:r>
            <w:proofErr w:type="spellStart"/>
            <w:r w:rsidRPr="00E37DF3">
              <w:rPr>
                <w:rStyle w:val="casenumber"/>
                <w:rFonts w:cstheme="minorHAnsi"/>
                <w:b/>
                <w:color w:val="333333"/>
                <w:sz w:val="20"/>
                <w:szCs w:val="20"/>
                <w:shd w:val="clear" w:color="auto" w:fill="FFFFFF"/>
              </w:rPr>
              <w:t>floorspace</w:t>
            </w:r>
            <w:proofErr w:type="spellEnd"/>
            <w:r w:rsidRPr="00E37DF3">
              <w:rPr>
                <w:rStyle w:val="casenumber"/>
                <w:rFonts w:cstheme="minorHAnsi"/>
                <w:b/>
                <w:color w:val="333333"/>
                <w:sz w:val="20"/>
                <w:szCs w:val="20"/>
                <w:shd w:val="clear" w:color="auto" w:fill="FFFFFF"/>
              </w:rPr>
              <w:t xml:space="preserve"> onsite (</w:t>
            </w:r>
            <w:proofErr w:type="spellStart"/>
            <w:r w:rsidRPr="00E37DF3">
              <w:rPr>
                <w:rStyle w:val="casenumber"/>
                <w:rFonts w:cstheme="minorHAnsi"/>
                <w:b/>
                <w:color w:val="333333"/>
                <w:sz w:val="20"/>
                <w:szCs w:val="20"/>
                <w:shd w:val="clear" w:color="auto" w:fill="FFFFFF"/>
              </w:rPr>
              <w:t>sqm</w:t>
            </w:r>
            <w:proofErr w:type="spellEnd"/>
            <w:r w:rsidRPr="00E37DF3">
              <w:rPr>
                <w:rStyle w:val="casenumber"/>
                <w:rFonts w:cstheme="minorHAnsi"/>
                <w:b/>
                <w:color w:val="333333"/>
                <w:sz w:val="20"/>
                <w:szCs w:val="20"/>
                <w:shd w:val="clear" w:color="auto" w:fill="FFFFFF"/>
              </w:rPr>
              <w:t>)</w:t>
            </w:r>
          </w:p>
        </w:tc>
        <w:tc>
          <w:tcPr>
            <w:tcW w:w="1610" w:type="dxa"/>
          </w:tcPr>
          <w:p w14:paraId="14228A0A" w14:textId="77777777" w:rsidR="0058440A" w:rsidRPr="00E37DF3" w:rsidRDefault="2A589756" w:rsidP="108EF35C">
            <w:pPr>
              <w:jc w:val="center"/>
              <w:rPr>
                <w:rStyle w:val="casenumber"/>
                <w:b/>
                <w:bCs/>
                <w:color w:val="333333"/>
                <w:sz w:val="20"/>
                <w:szCs w:val="20"/>
                <w:shd w:val="clear" w:color="auto" w:fill="FFFFFF"/>
              </w:rPr>
            </w:pPr>
            <w:r w:rsidRPr="108EF35C">
              <w:rPr>
                <w:rStyle w:val="casenumber"/>
                <w:b/>
                <w:bCs/>
                <w:color w:val="333333"/>
                <w:sz w:val="20"/>
                <w:szCs w:val="20"/>
                <w:shd w:val="clear" w:color="auto" w:fill="FFFFFF"/>
              </w:rPr>
              <w:t>Compliance with E2 or H9 requirements</w:t>
            </w:r>
          </w:p>
        </w:tc>
      </w:tr>
      <w:tr w:rsidR="0058440A" w:rsidRPr="0018231D" w14:paraId="3CEB5A4C" w14:textId="77777777" w:rsidTr="0039024B">
        <w:trPr>
          <w:jc w:val="center"/>
        </w:trPr>
        <w:tc>
          <w:tcPr>
            <w:tcW w:w="1361" w:type="dxa"/>
          </w:tcPr>
          <w:p w14:paraId="4FF702E7" w14:textId="77777777" w:rsidR="0058440A" w:rsidRPr="0018231D" w:rsidRDefault="0058440A" w:rsidP="00AF7B60">
            <w:pPr>
              <w:jc w:val="center"/>
              <w:rPr>
                <w:rStyle w:val="casenumber"/>
                <w:rFonts w:cstheme="minorHAnsi"/>
                <w:color w:val="333333"/>
                <w:sz w:val="20"/>
                <w:szCs w:val="20"/>
                <w:shd w:val="clear" w:color="auto" w:fill="FFFFFF"/>
              </w:rPr>
            </w:pPr>
            <w:r w:rsidRPr="0018231D">
              <w:rPr>
                <w:rStyle w:val="casenumber"/>
                <w:rFonts w:cstheme="minorHAnsi"/>
                <w:color w:val="333333"/>
                <w:sz w:val="20"/>
                <w:szCs w:val="20"/>
                <w:shd w:val="clear" w:color="auto" w:fill="FFFFFF"/>
              </w:rPr>
              <w:t>20/02471/FUL</w:t>
            </w:r>
          </w:p>
        </w:tc>
        <w:tc>
          <w:tcPr>
            <w:tcW w:w="1271" w:type="dxa"/>
          </w:tcPr>
          <w:p w14:paraId="52374038" w14:textId="77777777" w:rsidR="0058440A" w:rsidRPr="0018231D" w:rsidRDefault="0058440A" w:rsidP="00AF7B60">
            <w:pPr>
              <w:jc w:val="center"/>
              <w:rPr>
                <w:rStyle w:val="casenumber"/>
                <w:rFonts w:cstheme="minorHAnsi"/>
                <w:color w:val="333333"/>
                <w:sz w:val="20"/>
                <w:szCs w:val="20"/>
                <w:shd w:val="clear" w:color="auto" w:fill="FFFFFF"/>
              </w:rPr>
            </w:pPr>
            <w:r w:rsidRPr="0018231D">
              <w:rPr>
                <w:rStyle w:val="address"/>
                <w:rFonts w:cstheme="minorHAnsi"/>
                <w:color w:val="333333"/>
                <w:shd w:val="clear" w:color="auto" w:fill="FFFFFF"/>
              </w:rPr>
              <w:t>Tinbergen Building South Parks Road Oxford Oxfordshire OX1 3PS</w:t>
            </w:r>
          </w:p>
        </w:tc>
        <w:tc>
          <w:tcPr>
            <w:tcW w:w="1984" w:type="dxa"/>
          </w:tcPr>
          <w:p w14:paraId="2CA77831" w14:textId="77777777" w:rsidR="0058440A" w:rsidRPr="0018231D" w:rsidRDefault="0058440A" w:rsidP="00AF7B60">
            <w:pPr>
              <w:jc w:val="center"/>
              <w:rPr>
                <w:rStyle w:val="casenumber"/>
                <w:rFonts w:cstheme="minorHAnsi"/>
                <w:color w:val="333333"/>
                <w:sz w:val="20"/>
                <w:szCs w:val="20"/>
                <w:shd w:val="clear" w:color="auto" w:fill="FFFFFF"/>
              </w:rPr>
            </w:pPr>
            <w:r w:rsidRPr="0018231D">
              <w:rPr>
                <w:rStyle w:val="description"/>
                <w:rFonts w:cstheme="minorHAnsi"/>
                <w:color w:val="333333"/>
                <w:sz w:val="20"/>
                <w:szCs w:val="20"/>
                <w:shd w:val="clear" w:color="auto" w:fill="FFFFFF"/>
              </w:rPr>
              <w:t>Erection of research and teaching building (Use Class F.1) over five storeys plus basement level including associated café, offices, laboratories and roof level greenhouses, plant, PV panels and flues</w:t>
            </w:r>
          </w:p>
        </w:tc>
        <w:tc>
          <w:tcPr>
            <w:tcW w:w="1612" w:type="dxa"/>
          </w:tcPr>
          <w:p w14:paraId="2FBAAD18" w14:textId="77777777" w:rsidR="0058440A" w:rsidRPr="0018231D" w:rsidRDefault="0058440A" w:rsidP="0058440A">
            <w:pPr>
              <w:jc w:val="center"/>
              <w:rPr>
                <w:rStyle w:val="casenumber"/>
                <w:rFonts w:cstheme="minorHAnsi"/>
                <w:color w:val="333333"/>
                <w:sz w:val="20"/>
                <w:szCs w:val="20"/>
                <w:shd w:val="clear" w:color="auto" w:fill="FFFFFF"/>
              </w:rPr>
            </w:pPr>
            <w:r w:rsidRPr="0018231D">
              <w:rPr>
                <w:rStyle w:val="casenumber"/>
                <w:rFonts w:cstheme="minorHAnsi"/>
                <w:color w:val="333333"/>
                <w:sz w:val="20"/>
                <w:szCs w:val="20"/>
                <w:shd w:val="clear" w:color="auto" w:fill="FFFFFF"/>
              </w:rPr>
              <w:t>25</w:t>
            </w:r>
            <w:r>
              <w:rPr>
                <w:rStyle w:val="casenumber"/>
                <w:rFonts w:cstheme="minorHAnsi"/>
                <w:color w:val="333333"/>
                <w:sz w:val="20"/>
                <w:szCs w:val="20"/>
                <w:shd w:val="clear" w:color="auto" w:fill="FFFFFF"/>
              </w:rPr>
              <w:t>,</w:t>
            </w:r>
            <w:r w:rsidRPr="0018231D">
              <w:rPr>
                <w:rStyle w:val="casenumber"/>
                <w:rFonts w:cstheme="minorHAnsi"/>
                <w:color w:val="333333"/>
                <w:sz w:val="20"/>
                <w:szCs w:val="20"/>
                <w:shd w:val="clear" w:color="auto" w:fill="FFFFFF"/>
              </w:rPr>
              <w:t>329</w:t>
            </w:r>
          </w:p>
        </w:tc>
        <w:tc>
          <w:tcPr>
            <w:tcW w:w="1610" w:type="dxa"/>
          </w:tcPr>
          <w:p w14:paraId="278F3B86" w14:textId="77777777" w:rsidR="0058440A" w:rsidRPr="0018231D" w:rsidRDefault="0058440A" w:rsidP="0058440A">
            <w:pPr>
              <w:jc w:val="center"/>
              <w:rPr>
                <w:rStyle w:val="casenumber"/>
                <w:rFonts w:cstheme="minorHAnsi"/>
                <w:color w:val="333333"/>
                <w:sz w:val="20"/>
                <w:szCs w:val="20"/>
                <w:shd w:val="clear" w:color="auto" w:fill="FFFFFF"/>
              </w:rPr>
            </w:pPr>
            <w:r>
              <w:rPr>
                <w:rStyle w:val="casenumber"/>
                <w:rFonts w:cstheme="minorHAnsi"/>
                <w:color w:val="333333"/>
                <w:sz w:val="20"/>
                <w:szCs w:val="20"/>
                <w:shd w:val="clear" w:color="auto" w:fill="FFFFFF"/>
              </w:rPr>
              <w:t>Yes</w:t>
            </w:r>
          </w:p>
        </w:tc>
      </w:tr>
      <w:tr w:rsidR="0058440A" w:rsidRPr="0018231D" w14:paraId="4067F398" w14:textId="77777777" w:rsidTr="0039024B">
        <w:trPr>
          <w:jc w:val="center"/>
        </w:trPr>
        <w:tc>
          <w:tcPr>
            <w:tcW w:w="1361" w:type="dxa"/>
          </w:tcPr>
          <w:p w14:paraId="2BF3EE8D"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20/00942/FUL</w:t>
            </w:r>
          </w:p>
        </w:tc>
        <w:tc>
          <w:tcPr>
            <w:tcW w:w="1271" w:type="dxa"/>
          </w:tcPr>
          <w:p w14:paraId="48136200"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Radcliffe Science Library South Parks Road Oxford OX1 3QP</w:t>
            </w:r>
          </w:p>
        </w:tc>
        <w:tc>
          <w:tcPr>
            <w:tcW w:w="1984" w:type="dxa"/>
          </w:tcPr>
          <w:p w14:paraId="2AA37E7B" w14:textId="77777777" w:rsidR="0058440A" w:rsidRPr="0018231D" w:rsidRDefault="0058440A" w:rsidP="00AF7B60">
            <w:pPr>
              <w:jc w:val="center"/>
              <w:rPr>
                <w:rStyle w:val="description"/>
                <w:rFonts w:cstheme="minorHAnsi"/>
                <w:sz w:val="20"/>
                <w:szCs w:val="20"/>
              </w:rPr>
            </w:pPr>
            <w:r w:rsidRPr="0018231D">
              <w:rPr>
                <w:rStyle w:val="description"/>
                <w:rFonts w:cstheme="minorHAnsi"/>
                <w:color w:val="333333"/>
                <w:sz w:val="20"/>
                <w:szCs w:val="20"/>
                <w:shd w:val="clear" w:color="auto" w:fill="FFFFFF"/>
              </w:rPr>
              <w:t>Refurbishment and alteration of the Radcliffe Science Library, Abbot's Kitchen and west wing of the Inorganic Chemistry Laboratory (D1 use) to enable use as a graduate college, museums' collections teaching and research centre and library (D1 use).</w:t>
            </w:r>
          </w:p>
        </w:tc>
        <w:tc>
          <w:tcPr>
            <w:tcW w:w="1612" w:type="dxa"/>
          </w:tcPr>
          <w:p w14:paraId="5D37FE69" w14:textId="77777777" w:rsidR="0058440A" w:rsidRPr="0018231D" w:rsidRDefault="0058440A" w:rsidP="0058440A">
            <w:pPr>
              <w:jc w:val="center"/>
              <w:rPr>
                <w:rStyle w:val="description"/>
                <w:rFonts w:cstheme="minorHAnsi"/>
                <w:sz w:val="20"/>
                <w:szCs w:val="20"/>
              </w:rPr>
            </w:pPr>
            <w:r w:rsidRPr="0018231D">
              <w:rPr>
                <w:rStyle w:val="description"/>
                <w:rFonts w:cstheme="minorHAnsi"/>
                <w:sz w:val="20"/>
                <w:szCs w:val="20"/>
              </w:rPr>
              <w:t>7995</w:t>
            </w:r>
          </w:p>
        </w:tc>
        <w:tc>
          <w:tcPr>
            <w:tcW w:w="1610" w:type="dxa"/>
          </w:tcPr>
          <w:p w14:paraId="4827F828" w14:textId="5572A073" w:rsidR="0058440A" w:rsidRPr="0018231D" w:rsidRDefault="2D964647" w:rsidP="108EF35C">
            <w:pPr>
              <w:spacing w:line="259" w:lineRule="auto"/>
              <w:jc w:val="center"/>
              <w:rPr>
                <w:rStyle w:val="description"/>
                <w:sz w:val="20"/>
                <w:szCs w:val="20"/>
              </w:rPr>
            </w:pPr>
            <w:r w:rsidRPr="108EF35C">
              <w:rPr>
                <w:rStyle w:val="description"/>
                <w:sz w:val="20"/>
                <w:szCs w:val="20"/>
              </w:rPr>
              <w:t>Yes</w:t>
            </w:r>
          </w:p>
        </w:tc>
      </w:tr>
      <w:tr w:rsidR="0058440A" w:rsidRPr="0018231D" w14:paraId="2B23B7E8" w14:textId="77777777" w:rsidTr="0039024B">
        <w:trPr>
          <w:jc w:val="center"/>
        </w:trPr>
        <w:tc>
          <w:tcPr>
            <w:tcW w:w="1361" w:type="dxa"/>
          </w:tcPr>
          <w:p w14:paraId="6EF8D89F"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20/00908/FUL</w:t>
            </w:r>
          </w:p>
        </w:tc>
        <w:tc>
          <w:tcPr>
            <w:tcW w:w="1271" w:type="dxa"/>
          </w:tcPr>
          <w:p w14:paraId="5B9B33C3"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15 King Edward Street Oxford OX1 4HT</w:t>
            </w:r>
          </w:p>
        </w:tc>
        <w:tc>
          <w:tcPr>
            <w:tcW w:w="1984" w:type="dxa"/>
          </w:tcPr>
          <w:p w14:paraId="6C1D9E2C"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Change of use from teaching (Use Class D1) to a mixed use class as office (Use Class B1 (a) and teaching (Use Class D1).</w:t>
            </w:r>
          </w:p>
        </w:tc>
        <w:tc>
          <w:tcPr>
            <w:tcW w:w="1612" w:type="dxa"/>
          </w:tcPr>
          <w:p w14:paraId="4749F220" w14:textId="77777777" w:rsidR="0058440A" w:rsidRPr="0018231D" w:rsidRDefault="0058440A" w:rsidP="0058440A">
            <w:pPr>
              <w:jc w:val="center"/>
              <w:rPr>
                <w:rStyle w:val="casenumber"/>
                <w:rFonts w:cstheme="minorHAnsi"/>
                <w:color w:val="333333"/>
                <w:sz w:val="20"/>
                <w:szCs w:val="20"/>
                <w:shd w:val="clear" w:color="auto" w:fill="FFFFFF"/>
              </w:rPr>
            </w:pPr>
            <w:r>
              <w:rPr>
                <w:rStyle w:val="casenumber"/>
                <w:rFonts w:cstheme="minorHAnsi"/>
                <w:color w:val="333333"/>
                <w:sz w:val="20"/>
                <w:szCs w:val="20"/>
                <w:shd w:val="clear" w:color="auto" w:fill="FFFFFF"/>
              </w:rPr>
              <w:t>341</w:t>
            </w:r>
          </w:p>
        </w:tc>
        <w:tc>
          <w:tcPr>
            <w:tcW w:w="1610" w:type="dxa"/>
          </w:tcPr>
          <w:p w14:paraId="7ADA7E14" w14:textId="7475A919" w:rsidR="0058440A" w:rsidRPr="0018231D" w:rsidRDefault="71CBDA38" w:rsidP="108EF35C">
            <w:pPr>
              <w:jc w:val="center"/>
              <w:rPr>
                <w:rStyle w:val="casenumber"/>
                <w:color w:val="333333"/>
                <w:sz w:val="20"/>
                <w:szCs w:val="20"/>
                <w:shd w:val="clear" w:color="auto" w:fill="FFFFFF"/>
              </w:rPr>
            </w:pPr>
            <w:r w:rsidRPr="108EF35C">
              <w:rPr>
                <w:rStyle w:val="description"/>
                <w:sz w:val="20"/>
                <w:szCs w:val="20"/>
              </w:rPr>
              <w:t>Yes</w:t>
            </w:r>
          </w:p>
        </w:tc>
      </w:tr>
      <w:tr w:rsidR="0058440A" w:rsidRPr="0018231D" w14:paraId="353B7AD2" w14:textId="77777777" w:rsidTr="0039024B">
        <w:trPr>
          <w:jc w:val="center"/>
        </w:trPr>
        <w:tc>
          <w:tcPr>
            <w:tcW w:w="1361" w:type="dxa"/>
          </w:tcPr>
          <w:p w14:paraId="145315D4" w14:textId="09837374"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20/00166/FUL</w:t>
            </w:r>
          </w:p>
        </w:tc>
        <w:tc>
          <w:tcPr>
            <w:tcW w:w="1271" w:type="dxa"/>
          </w:tcPr>
          <w:p w14:paraId="527911A0"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Rhodes House South Parks Road Oxford Oxfordshire OX1 3RG</w:t>
            </w:r>
          </w:p>
        </w:tc>
        <w:tc>
          <w:tcPr>
            <w:tcW w:w="1984" w:type="dxa"/>
          </w:tcPr>
          <w:p w14:paraId="09A5F607"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 xml:space="preserve">Demolition of Lodge buildings, with various works to landscaping and refurbishments to existing buildings.  Basement extension to provide residential, teaching and office accommodation with </w:t>
            </w:r>
            <w:r w:rsidRPr="0018231D">
              <w:rPr>
                <w:rStyle w:val="description"/>
                <w:rFonts w:cstheme="minorHAnsi"/>
                <w:sz w:val="20"/>
                <w:szCs w:val="20"/>
              </w:rPr>
              <w:lastRenderedPageBreak/>
              <w:t xml:space="preserve">associated structural works. Erection of replacement Lodges and single storey garden room. Creation of underground accommodation and sunken courtyard within the grounds (east) to provide additional residential </w:t>
            </w:r>
            <w:proofErr w:type="spellStart"/>
            <w:r w:rsidRPr="0018231D">
              <w:rPr>
                <w:rStyle w:val="description"/>
                <w:rFonts w:cstheme="minorHAnsi"/>
                <w:sz w:val="20"/>
                <w:szCs w:val="20"/>
              </w:rPr>
              <w:t>ensuite</w:t>
            </w:r>
            <w:proofErr w:type="spellEnd"/>
            <w:r w:rsidRPr="0018231D">
              <w:rPr>
                <w:rStyle w:val="description"/>
                <w:rFonts w:cstheme="minorHAnsi"/>
                <w:sz w:val="20"/>
                <w:szCs w:val="20"/>
              </w:rPr>
              <w:t xml:space="preserve"> bedrooms.</w:t>
            </w:r>
          </w:p>
        </w:tc>
        <w:tc>
          <w:tcPr>
            <w:tcW w:w="1612" w:type="dxa"/>
          </w:tcPr>
          <w:p w14:paraId="3EDC2849" w14:textId="77777777" w:rsidR="0058440A" w:rsidRPr="0018231D" w:rsidRDefault="0058440A" w:rsidP="0058440A">
            <w:pPr>
              <w:jc w:val="center"/>
              <w:rPr>
                <w:rStyle w:val="description"/>
                <w:rFonts w:cstheme="minorHAnsi"/>
                <w:sz w:val="20"/>
                <w:szCs w:val="20"/>
              </w:rPr>
            </w:pPr>
            <w:r w:rsidRPr="0018231D">
              <w:rPr>
                <w:rStyle w:val="description"/>
                <w:rFonts w:cstheme="minorHAnsi"/>
                <w:sz w:val="20"/>
                <w:szCs w:val="20"/>
              </w:rPr>
              <w:lastRenderedPageBreak/>
              <w:t>1060</w:t>
            </w:r>
          </w:p>
        </w:tc>
        <w:tc>
          <w:tcPr>
            <w:tcW w:w="1610" w:type="dxa"/>
          </w:tcPr>
          <w:p w14:paraId="1F0245C6" w14:textId="6E95C95C" w:rsidR="0058440A" w:rsidRPr="0018231D" w:rsidRDefault="7DCBEF53" w:rsidP="108EF35C">
            <w:pPr>
              <w:spacing w:line="259" w:lineRule="auto"/>
              <w:jc w:val="center"/>
              <w:rPr>
                <w:rStyle w:val="description"/>
                <w:sz w:val="20"/>
                <w:szCs w:val="20"/>
              </w:rPr>
            </w:pPr>
            <w:r w:rsidRPr="108EF35C">
              <w:rPr>
                <w:rStyle w:val="description"/>
                <w:sz w:val="20"/>
                <w:szCs w:val="20"/>
              </w:rPr>
              <w:t>Yes</w:t>
            </w:r>
          </w:p>
        </w:tc>
      </w:tr>
      <w:tr w:rsidR="0058440A" w:rsidRPr="0018231D" w14:paraId="4441D7DF" w14:textId="77777777" w:rsidTr="0039024B">
        <w:trPr>
          <w:jc w:val="center"/>
        </w:trPr>
        <w:tc>
          <w:tcPr>
            <w:tcW w:w="1361" w:type="dxa"/>
          </w:tcPr>
          <w:p w14:paraId="45E3A57A"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lastRenderedPageBreak/>
              <w:t>20/01049/FUL</w:t>
            </w:r>
          </w:p>
        </w:tc>
        <w:tc>
          <w:tcPr>
            <w:tcW w:w="1271" w:type="dxa"/>
          </w:tcPr>
          <w:p w14:paraId="49501555"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Churchill Hospital Old Road Headington Oxford Oxfordshire OX3 7JY</w:t>
            </w:r>
          </w:p>
        </w:tc>
        <w:tc>
          <w:tcPr>
            <w:tcW w:w="1984" w:type="dxa"/>
          </w:tcPr>
          <w:p w14:paraId="204F39D1" w14:textId="77777777" w:rsidR="0058440A" w:rsidRPr="0018231D" w:rsidRDefault="0058440A" w:rsidP="00AF7B60">
            <w:pPr>
              <w:jc w:val="center"/>
              <w:rPr>
                <w:rStyle w:val="description"/>
                <w:rFonts w:cstheme="minorHAnsi"/>
                <w:sz w:val="20"/>
                <w:szCs w:val="20"/>
              </w:rPr>
            </w:pPr>
            <w:r w:rsidRPr="0018231D">
              <w:rPr>
                <w:rStyle w:val="description"/>
                <w:rFonts w:cstheme="minorHAnsi"/>
                <w:sz w:val="20"/>
                <w:szCs w:val="20"/>
              </w:rPr>
              <w:t xml:space="preserve">Change of use of the John </w:t>
            </w:r>
            <w:proofErr w:type="spellStart"/>
            <w:r w:rsidRPr="0018231D">
              <w:rPr>
                <w:rStyle w:val="description"/>
                <w:rFonts w:cstheme="minorHAnsi"/>
                <w:sz w:val="20"/>
                <w:szCs w:val="20"/>
              </w:rPr>
              <w:t>Warin</w:t>
            </w:r>
            <w:proofErr w:type="spellEnd"/>
            <w:r w:rsidRPr="0018231D">
              <w:rPr>
                <w:rStyle w:val="description"/>
                <w:rFonts w:cstheme="minorHAnsi"/>
                <w:sz w:val="20"/>
                <w:szCs w:val="20"/>
              </w:rPr>
              <w:t xml:space="preserve"> Ward from Use Class C2 to Use Class D1 for use as a clinical research facility and respiratory medicine centre. Refurbishment of the building to include ancillary offices, an incidental overnight monitoring facility and installation of associated external plant, flues, landscaping and a bicycle shed.</w:t>
            </w:r>
          </w:p>
        </w:tc>
        <w:tc>
          <w:tcPr>
            <w:tcW w:w="1612" w:type="dxa"/>
          </w:tcPr>
          <w:p w14:paraId="1A69DBE6" w14:textId="77777777" w:rsidR="0058440A" w:rsidRPr="0018231D" w:rsidRDefault="0058440A" w:rsidP="0058440A">
            <w:pPr>
              <w:jc w:val="center"/>
              <w:rPr>
                <w:rStyle w:val="description"/>
                <w:rFonts w:cstheme="minorHAnsi"/>
                <w:sz w:val="20"/>
                <w:szCs w:val="20"/>
              </w:rPr>
            </w:pPr>
            <w:r>
              <w:rPr>
                <w:rStyle w:val="description"/>
                <w:rFonts w:cstheme="minorHAnsi"/>
                <w:sz w:val="20"/>
                <w:szCs w:val="20"/>
              </w:rPr>
              <w:t>1092</w:t>
            </w:r>
          </w:p>
        </w:tc>
        <w:tc>
          <w:tcPr>
            <w:tcW w:w="1610" w:type="dxa"/>
          </w:tcPr>
          <w:p w14:paraId="6A25B947" w14:textId="7F37CEB3" w:rsidR="0058440A" w:rsidRPr="0018231D" w:rsidRDefault="004B768B">
            <w:pPr>
              <w:jc w:val="center"/>
              <w:rPr>
                <w:rStyle w:val="description"/>
                <w:rFonts w:cstheme="minorHAnsi"/>
                <w:sz w:val="20"/>
                <w:szCs w:val="20"/>
              </w:rPr>
            </w:pPr>
            <w:r>
              <w:rPr>
                <w:rStyle w:val="description"/>
                <w:rFonts w:cstheme="minorHAnsi"/>
                <w:sz w:val="20"/>
                <w:szCs w:val="20"/>
              </w:rPr>
              <w:t>Yes</w:t>
            </w:r>
          </w:p>
        </w:tc>
      </w:tr>
    </w:tbl>
    <w:p w14:paraId="75DCFBBA" w14:textId="42B956DE" w:rsidR="0058440A" w:rsidRPr="009832E8" w:rsidRDefault="2DC44B83" w:rsidP="009832E8">
      <w:pPr>
        <w:autoSpaceDE w:val="0"/>
        <w:autoSpaceDN w:val="0"/>
        <w:adjustRightInd w:val="0"/>
        <w:spacing w:before="240"/>
        <w:ind w:right="-45"/>
        <w:jc w:val="center"/>
        <w:rPr>
          <w:rFonts w:eastAsia="Calibri" w:cs="Calibri"/>
          <w:color w:val="000000"/>
          <w:sz w:val="20"/>
          <w:szCs w:val="20"/>
        </w:rPr>
      </w:pPr>
      <w:r w:rsidRPr="7A04C4E7">
        <w:rPr>
          <w:rFonts w:eastAsia="Calibri" w:cs="Calibri"/>
          <w:b/>
          <w:bCs/>
          <w:color w:val="000000" w:themeColor="text1"/>
          <w:sz w:val="20"/>
          <w:szCs w:val="20"/>
        </w:rPr>
        <w:t xml:space="preserve">Table </w:t>
      </w:r>
      <w:r w:rsidR="4B6E5BD5" w:rsidRPr="7A04C4E7">
        <w:rPr>
          <w:rFonts w:eastAsia="Calibri" w:cs="Calibri"/>
          <w:b/>
          <w:bCs/>
          <w:color w:val="000000" w:themeColor="text1"/>
          <w:sz w:val="20"/>
          <w:szCs w:val="20"/>
        </w:rPr>
        <w:t>6</w:t>
      </w:r>
      <w:r w:rsidRPr="7A04C4E7">
        <w:rPr>
          <w:rFonts w:eastAsia="Calibri" w:cs="Calibri"/>
          <w:color w:val="000000" w:themeColor="text1"/>
          <w:sz w:val="20"/>
          <w:szCs w:val="20"/>
        </w:rPr>
        <w:t xml:space="preserve">: Permissions involving additional </w:t>
      </w:r>
      <w:r w:rsidR="00516B8A" w:rsidRPr="7A04C4E7">
        <w:rPr>
          <w:rFonts w:eastAsia="Calibri" w:cs="Calibri"/>
          <w:color w:val="000000" w:themeColor="text1"/>
          <w:sz w:val="20"/>
          <w:szCs w:val="20"/>
        </w:rPr>
        <w:t>u</w:t>
      </w:r>
      <w:r w:rsidRPr="7A04C4E7">
        <w:rPr>
          <w:rFonts w:eastAsia="Calibri" w:cs="Calibri"/>
          <w:color w:val="000000" w:themeColor="text1"/>
          <w:sz w:val="20"/>
          <w:szCs w:val="20"/>
        </w:rPr>
        <w:t xml:space="preserve">niversity academic and administrative </w:t>
      </w:r>
      <w:proofErr w:type="spellStart"/>
      <w:r w:rsidRPr="7A04C4E7">
        <w:rPr>
          <w:rFonts w:eastAsia="Calibri" w:cs="Calibri"/>
          <w:color w:val="000000" w:themeColor="text1"/>
          <w:sz w:val="20"/>
          <w:szCs w:val="20"/>
        </w:rPr>
        <w:t>floorspace</w:t>
      </w:r>
      <w:proofErr w:type="spellEnd"/>
    </w:p>
    <w:p w14:paraId="7C58716B" w14:textId="2E96460F" w:rsidR="0058440A" w:rsidRPr="00A1220F" w:rsidRDefault="0058440A" w:rsidP="00A1220F">
      <w:pPr>
        <w:pStyle w:val="Heading2"/>
      </w:pPr>
      <w:bookmarkStart w:id="29" w:name="_Toc88135847"/>
      <w:r>
        <w:t>Ensuring Oxford is a vibrant and enjoyable city to live in and visit</w:t>
      </w:r>
      <w:bookmarkEnd w:id="29"/>
    </w:p>
    <w:p w14:paraId="744C7FA7" w14:textId="77777777" w:rsidR="0044522B" w:rsidRPr="00475EDC" w:rsidRDefault="0D1BE199" w:rsidP="009978CB">
      <w:pPr>
        <w:keepNext/>
        <w:numPr>
          <w:ilvl w:val="1"/>
          <w:numId w:val="11"/>
        </w:numPr>
        <w:spacing w:before="240" w:after="200" w:line="276" w:lineRule="auto"/>
        <w:ind w:left="567" w:hanging="567"/>
        <w:jc w:val="both"/>
        <w:rPr>
          <w:rFonts w:eastAsiaTheme="minorEastAsia"/>
        </w:rPr>
      </w:pPr>
      <w:r>
        <w:t xml:space="preserve">Oxford provides a wide range of services and facilities to both the city’s residents and those living in the wider catchment area, therefore it is important that the vibrancy and vitality of Oxford’s centres are maintained and enhanced through the plan period. The vision for the Oxford Local Plan 2036 is to build on these strengths and to focus growth in these centres. </w:t>
      </w:r>
    </w:p>
    <w:p w14:paraId="7F1A90B8" w14:textId="36EE24D7" w:rsidR="009832E8" w:rsidRDefault="0D1BE199" w:rsidP="009978CB">
      <w:pPr>
        <w:keepNext/>
        <w:numPr>
          <w:ilvl w:val="1"/>
          <w:numId w:val="11"/>
        </w:numPr>
        <w:spacing w:after="200" w:line="276" w:lineRule="auto"/>
        <w:ind w:left="567" w:hanging="567"/>
        <w:jc w:val="both"/>
      </w:pPr>
      <w:r>
        <w:t xml:space="preserve">Policy V1 aims to protect the vitality </w:t>
      </w:r>
      <w:r w:rsidR="7DCDCA7F">
        <w:t>of</w:t>
      </w:r>
      <w:r w:rsidR="4AD1D32F">
        <w:t xml:space="preserve"> the</w:t>
      </w:r>
      <w:r>
        <w:t xml:space="preserve"> city, district and local centres</w:t>
      </w:r>
      <w:r w:rsidR="7DCDCA7F">
        <w:t xml:space="preserve"> within Oxford.</w:t>
      </w:r>
      <w:r>
        <w:t xml:space="preserve"> Policies V2 – V4</w:t>
      </w:r>
      <w:r w:rsidR="7DCDCA7F">
        <w:t xml:space="preserve">, meanwhile, </w:t>
      </w:r>
      <w:r>
        <w:t>provide the framework as to what mix of uses</w:t>
      </w:r>
      <w:r w:rsidR="7DCDCA7F">
        <w:t>, such as retail or food and drink,</w:t>
      </w:r>
      <w:r>
        <w:t xml:space="preserve"> (</w:t>
      </w:r>
      <w:r w:rsidR="7DCDCA7F">
        <w:t xml:space="preserve">and </w:t>
      </w:r>
      <w:r>
        <w:t xml:space="preserve">identified through percentages allocated to </w:t>
      </w:r>
      <w:r w:rsidR="7DCDCA7F">
        <w:t xml:space="preserve">each </w:t>
      </w:r>
      <w:r>
        <w:t>use class) would be acceptable within the shopping frontages of the</w:t>
      </w:r>
      <w:r w:rsidR="7DCDCA7F">
        <w:t>se</w:t>
      </w:r>
      <w:r>
        <w:t xml:space="preserve"> centres</w:t>
      </w:r>
      <w:r w:rsidR="7DCDCA7F">
        <w:t>, including the Oxford Covered Market</w:t>
      </w:r>
      <w:r>
        <w:t>. These policies place a particular emphasis on the minimum proportion of Class A1 (retail) units at ground floor level that should be present within each shopping frontage in order to ensure that the function</w:t>
      </w:r>
      <w:r w:rsidR="65C94684">
        <w:t xml:space="preserve">, </w:t>
      </w:r>
      <w:r>
        <w:t>vitality and viability of each centre is maintained.</w:t>
      </w:r>
    </w:p>
    <w:p w14:paraId="37B85DAA" w14:textId="774E75F9" w:rsidR="0058440A" w:rsidRPr="009832E8" w:rsidRDefault="009832E8" w:rsidP="009832E8">
      <w:r>
        <w:br w:type="page"/>
      </w:r>
    </w:p>
    <w:p w14:paraId="392ED9AE" w14:textId="77777777" w:rsidR="0058440A" w:rsidRPr="002A0ECC" w:rsidRDefault="0058440A" w:rsidP="00F75A5C">
      <w:pPr>
        <w:pStyle w:val="Default"/>
        <w:spacing w:after="240"/>
        <w:rPr>
          <w:rFonts w:asciiTheme="minorHAnsi" w:hAnsiTheme="minorHAnsi" w:cstheme="minorHAnsi"/>
          <w:b/>
          <w:szCs w:val="20"/>
        </w:rPr>
      </w:pPr>
      <w:r w:rsidRPr="002A0ECC">
        <w:rPr>
          <w:rFonts w:asciiTheme="minorHAnsi" w:hAnsiTheme="minorHAnsi" w:cstheme="minorHAnsi"/>
          <w:b/>
          <w:szCs w:val="20"/>
        </w:rPr>
        <w:lastRenderedPageBreak/>
        <w:t>Changes to Use Classes Order</w:t>
      </w:r>
    </w:p>
    <w:p w14:paraId="5561C559" w14:textId="3F6DD9A9" w:rsidR="0058440A" w:rsidRDefault="0D1BE199" w:rsidP="009978CB">
      <w:pPr>
        <w:keepNext/>
        <w:numPr>
          <w:ilvl w:val="1"/>
          <w:numId w:val="11"/>
        </w:numPr>
        <w:spacing w:after="200" w:line="276" w:lineRule="auto"/>
        <w:ind w:left="567" w:hanging="567"/>
        <w:jc w:val="both"/>
        <w:rPr>
          <w:rFonts w:eastAsiaTheme="minorEastAsia"/>
        </w:rPr>
      </w:pPr>
      <w:r>
        <w:t xml:space="preserve">Shortly after the Oxford Local Plan 2036 was adopted in June 2020, the Government announced that a series of measures would be introduced to the use classes system, effective from 1 September 2020, which was deemed to be the most radical change to the planning system in recent times. Of particular relevance in Oxford is the impact on the newly adopted retail frontage policies (V2-V4), where there will be a reduced ability to protect their primary retail function. </w:t>
      </w:r>
    </w:p>
    <w:p w14:paraId="64D93405" w14:textId="1E2B3E75" w:rsidR="00475EDC" w:rsidRDefault="0D1BE199" w:rsidP="009978CB">
      <w:pPr>
        <w:keepNext/>
        <w:numPr>
          <w:ilvl w:val="1"/>
          <w:numId w:val="11"/>
        </w:numPr>
        <w:spacing w:after="200" w:line="276" w:lineRule="auto"/>
        <w:ind w:left="567" w:hanging="567"/>
        <w:jc w:val="both"/>
        <w:rPr>
          <w:rFonts w:eastAsiaTheme="minorEastAsia"/>
        </w:rPr>
      </w:pPr>
      <w:r>
        <w:t xml:space="preserve">More guidance on these changes can be found on the </w:t>
      </w:r>
      <w:r w:rsidR="00B4215F">
        <w:t>Planning Portal</w:t>
      </w:r>
      <w:r w:rsidR="00B4215F">
        <w:rPr>
          <w:rStyle w:val="FootnoteReference"/>
        </w:rPr>
        <w:footnoteReference w:id="5"/>
      </w:r>
      <w:r w:rsidR="00B4215F">
        <w:t xml:space="preserve">. </w:t>
      </w:r>
      <w:r>
        <w:t xml:space="preserve">Class F.2 that incorporates uses such as local shops and recreational facilities, </w:t>
      </w:r>
      <w:r w:rsidRPr="003F59D8">
        <w:t xml:space="preserve">largely </w:t>
      </w:r>
      <w:r>
        <w:t xml:space="preserve">on the basis of their local function rather than purely in terms of </w:t>
      </w:r>
      <w:r w:rsidR="00B4215F">
        <w:t>their land use characteristics.</w:t>
      </w:r>
    </w:p>
    <w:p w14:paraId="08A6B546" w14:textId="77777777" w:rsidR="0058440A" w:rsidRDefault="0D1BE199" w:rsidP="009978CB">
      <w:pPr>
        <w:keepNext/>
        <w:numPr>
          <w:ilvl w:val="1"/>
          <w:numId w:val="11"/>
        </w:numPr>
        <w:spacing w:after="200" w:line="276" w:lineRule="auto"/>
        <w:ind w:left="567" w:hanging="567"/>
        <w:jc w:val="both"/>
        <w:rPr>
          <w:rFonts w:eastAsiaTheme="minorEastAsia"/>
        </w:rPr>
      </w:pPr>
      <w:r>
        <w:t xml:space="preserve">These changes have resulted in the revocation of Classes A and D from the Use Classes Order which means that the current retail policies in the Plan which monitor the proportion of A1 and other A uses in the designated frontages will become out of date, particularly as the distinction in the Policies between A1 and other A Use Classes cannot be made. </w:t>
      </w:r>
    </w:p>
    <w:p w14:paraId="445E722F" w14:textId="68575E6F" w:rsidR="0058440A" w:rsidRPr="00A1220F" w:rsidRDefault="0D1BE199" w:rsidP="009978CB">
      <w:pPr>
        <w:keepNext/>
        <w:numPr>
          <w:ilvl w:val="1"/>
          <w:numId w:val="11"/>
        </w:numPr>
        <w:spacing w:after="200" w:line="276" w:lineRule="auto"/>
        <w:ind w:left="567" w:hanging="567"/>
        <w:jc w:val="both"/>
        <w:rPr>
          <w:rFonts w:eastAsiaTheme="minorEastAsia"/>
        </w:rPr>
      </w:pPr>
      <w:r>
        <w:t>The recent changes</w:t>
      </w:r>
      <w:r w:rsidR="7DCDCA7F">
        <w:t xml:space="preserve"> to the Use Classes Order</w:t>
      </w:r>
      <w:r>
        <w:t xml:space="preserve"> limit the effectiveness of how these policies can be monitored. Further work will need to be undertaken to address these changes and how the relevant policies will be expected to work, given that the use classes referred to in several policies will no longer exist and new use</w:t>
      </w:r>
      <w:r w:rsidR="65C94684">
        <w:t xml:space="preserve"> classes will take their place.</w:t>
      </w:r>
      <w:r w:rsidR="7DCDCA7F">
        <w:t xml:space="preserve"> For this AMR, monitoring will be reported based upon the previous Use Class Order, whilst these are now out of date, these were the basis for the most recent retail surveys which were undertaken during the 2020/21 monitoring period. An updated monitoring methodology for these policies will therefore be addressed in the next A</w:t>
      </w:r>
      <w:r w:rsidR="218ABD8B">
        <w:t>MR</w:t>
      </w:r>
      <w:r w:rsidR="7DCDCA7F">
        <w:t>, this will be supported by a revised approach to retail surveys which utilises the new use class system.</w:t>
      </w:r>
    </w:p>
    <w:p w14:paraId="764F3DFA" w14:textId="77777777" w:rsidR="0058440A" w:rsidRDefault="0058440A" w:rsidP="0058440A">
      <w:pPr>
        <w:pStyle w:val="Default"/>
        <w:rPr>
          <w:rFonts w:asciiTheme="minorHAnsi" w:hAnsiTheme="minorHAnsi" w:cstheme="minorHAnsi"/>
          <w:b/>
          <w:szCs w:val="20"/>
        </w:rPr>
      </w:pPr>
      <w:r>
        <w:rPr>
          <w:rFonts w:asciiTheme="minorHAnsi" w:hAnsiTheme="minorHAnsi" w:cstheme="minorHAnsi"/>
          <w:b/>
          <w:szCs w:val="20"/>
        </w:rPr>
        <w:t>V1 - Ensuring the vitality of centres</w:t>
      </w:r>
    </w:p>
    <w:p w14:paraId="590995E8" w14:textId="77777777" w:rsidR="0058440A" w:rsidRPr="00D61AF2" w:rsidRDefault="0058440A" w:rsidP="0058440A">
      <w:pPr>
        <w:pStyle w:val="Default"/>
        <w:rPr>
          <w:rFonts w:asciiTheme="minorHAnsi" w:hAnsiTheme="minorHAnsi" w:cstheme="minorHAnsi"/>
          <w:b/>
          <w:sz w:val="22"/>
          <w:szCs w:val="20"/>
        </w:rPr>
      </w:pPr>
    </w:p>
    <w:p w14:paraId="5FC8C94F" w14:textId="3E4C11D6" w:rsidR="0058440A" w:rsidRPr="00475EDC" w:rsidRDefault="0D1BE199" w:rsidP="009978CB">
      <w:pPr>
        <w:keepNext/>
        <w:numPr>
          <w:ilvl w:val="1"/>
          <w:numId w:val="11"/>
        </w:numPr>
        <w:spacing w:after="200" w:line="276" w:lineRule="auto"/>
        <w:ind w:left="567" w:hanging="567"/>
        <w:jc w:val="both"/>
        <w:rPr>
          <w:rFonts w:eastAsiaTheme="minorEastAsia"/>
        </w:rPr>
      </w:pPr>
      <w:r>
        <w:t xml:space="preserve"> The plan states that permission will be granted for development of town centre uses within the defined city, </w:t>
      </w:r>
      <w:r w:rsidR="54229713">
        <w:t>district,</w:t>
      </w:r>
      <w:r>
        <w:t xml:space="preserve"> and local centre boundaries provided that use is appropriate to both the scale, </w:t>
      </w:r>
      <w:r w:rsidR="1A2083A4">
        <w:t>function,</w:t>
      </w:r>
      <w:r>
        <w:t xml:space="preserve"> and character of the area. The policy also states that the city centre will continue to be a primary location for retailing as well as other town centre uses. Continuing to provide a wide diversity of uses to shoppers will create an attractive destination for people visiting the city.     </w:t>
      </w:r>
    </w:p>
    <w:p w14:paraId="34DFC859" w14:textId="174A2F3D" w:rsidR="0058440A" w:rsidRPr="00475EDC" w:rsidRDefault="397BF16C" w:rsidP="009978CB">
      <w:pPr>
        <w:keepNext/>
        <w:numPr>
          <w:ilvl w:val="1"/>
          <w:numId w:val="11"/>
        </w:numPr>
        <w:spacing w:after="200" w:line="276" w:lineRule="auto"/>
        <w:ind w:left="567" w:hanging="567"/>
        <w:jc w:val="both"/>
        <w:rPr>
          <w:rFonts w:eastAsiaTheme="minorEastAsia"/>
        </w:rPr>
      </w:pPr>
      <w:r>
        <w:t xml:space="preserve">One means of understanding how the centres are performing in terms of vitality is to assess how many people are using these areas throughout the year. </w:t>
      </w:r>
      <w:r w:rsidR="0D1BE199">
        <w:t xml:space="preserve">Figure </w:t>
      </w:r>
      <w:r w:rsidR="707BA686">
        <w:t>3</w:t>
      </w:r>
      <w:r w:rsidR="0D1BE199">
        <w:t xml:space="preserve"> below compares the percentage difference of each month to the mean monthly footfall of the monitoring period</w:t>
      </w:r>
      <w:r>
        <w:t xml:space="preserve"> and highlights that the </w:t>
      </w:r>
      <w:r w:rsidR="0D1BE199">
        <w:t>average monthly footfall across the monitoring period was 239,367 people per month. At the beginning of the period in April, May and June footfalls were well below the average</w:t>
      </w:r>
      <w:r>
        <w:t xml:space="preserve">, this can be attributed to the impacts of the social distancing measures related to the ongoing </w:t>
      </w:r>
      <w:proofErr w:type="spellStart"/>
      <w:r>
        <w:t>Covid</w:t>
      </w:r>
      <w:proofErr w:type="spellEnd"/>
      <w:r>
        <w:t xml:space="preserve"> 19 pandemic with </w:t>
      </w:r>
      <w:r w:rsidR="0D1BE199">
        <w:t>the UK remain</w:t>
      </w:r>
      <w:r>
        <w:t>ing</w:t>
      </w:r>
      <w:r w:rsidR="0D1BE199">
        <w:t xml:space="preserve"> in lockdown and </w:t>
      </w:r>
      <w:r w:rsidR="43A914F9">
        <w:t xml:space="preserve">tight </w:t>
      </w:r>
      <w:r w:rsidR="0D1BE199">
        <w:t xml:space="preserve">restrictions </w:t>
      </w:r>
      <w:r>
        <w:t xml:space="preserve">set </w:t>
      </w:r>
      <w:r w:rsidR="0D1BE199">
        <w:t>on people leaving their homes</w:t>
      </w:r>
      <w:r w:rsidR="76B719A5">
        <w:t xml:space="preserve">.  </w:t>
      </w:r>
      <w:r w:rsidR="0D1BE199">
        <w:t>In the following four months</w:t>
      </w:r>
      <w:r>
        <w:t>,</w:t>
      </w:r>
      <w:r w:rsidR="0D1BE199">
        <w:t xml:space="preserve"> as restrictions </w:t>
      </w:r>
      <w:r w:rsidR="0D1BE199">
        <w:lastRenderedPageBreak/>
        <w:t>eased, footfalls in the city increased, further encouraged by the ‘Eat Out to Help Out’ scheme and potentially an increase in the public’s feeling of safety. This peaked in October when the city centre saw over 420,000 recorded in the count. From here numbers dipped as restrictions were re-imposed and poorer weather returned.</w:t>
      </w:r>
    </w:p>
    <w:p w14:paraId="0815C059" w14:textId="77777777" w:rsidR="0058440A" w:rsidRDefault="0058440A" w:rsidP="0058440A">
      <w:pPr>
        <w:pStyle w:val="Default"/>
        <w:rPr>
          <w:rFonts w:asciiTheme="minorHAnsi" w:hAnsiTheme="minorHAnsi" w:cstheme="minorHAnsi"/>
          <w:sz w:val="22"/>
          <w:szCs w:val="22"/>
        </w:rPr>
      </w:pPr>
    </w:p>
    <w:p w14:paraId="73D933A0" w14:textId="6E9E897E" w:rsidR="008B5533" w:rsidRDefault="008B5533" w:rsidP="0039024B">
      <w:pPr>
        <w:pStyle w:val="Default"/>
        <w:jc w:val="center"/>
        <w:rPr>
          <w:rFonts w:asciiTheme="minorHAnsi" w:hAnsiTheme="minorHAnsi" w:cstheme="minorHAnsi"/>
          <w:sz w:val="22"/>
          <w:szCs w:val="22"/>
        </w:rPr>
      </w:pPr>
      <w:r>
        <w:rPr>
          <w:noProof/>
          <w:lang w:eastAsia="en-GB"/>
        </w:rPr>
        <w:drawing>
          <wp:inline distT="0" distB="0" distL="0" distR="0" wp14:anchorId="530D9717" wp14:editId="25A6DA8F">
            <wp:extent cx="4860000" cy="3130550"/>
            <wp:effectExtent l="0" t="0" r="17145"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F03A30" w14:textId="204CD162" w:rsidR="0058440A" w:rsidRDefault="008B5533" w:rsidP="00A1220F">
      <w:pPr>
        <w:pStyle w:val="Default"/>
        <w:spacing w:before="240"/>
        <w:jc w:val="center"/>
        <w:rPr>
          <w:rFonts w:asciiTheme="minorHAnsi" w:hAnsiTheme="minorHAnsi" w:cstheme="minorBidi"/>
          <w:sz w:val="18"/>
          <w:szCs w:val="18"/>
        </w:rPr>
      </w:pPr>
      <w:r w:rsidRPr="00E46DC8">
        <w:rPr>
          <w:rFonts w:asciiTheme="minorHAnsi" w:hAnsiTheme="minorHAnsi" w:cstheme="minorBidi"/>
          <w:b/>
          <w:sz w:val="20"/>
          <w:szCs w:val="18"/>
        </w:rPr>
        <w:t>Figure</w:t>
      </w:r>
      <w:r w:rsidR="0058440A" w:rsidRPr="00E46DC8">
        <w:rPr>
          <w:rFonts w:asciiTheme="minorHAnsi" w:hAnsiTheme="minorHAnsi" w:cstheme="minorBidi"/>
          <w:b/>
          <w:sz w:val="20"/>
          <w:szCs w:val="18"/>
        </w:rPr>
        <w:t xml:space="preserve"> </w:t>
      </w:r>
      <w:r w:rsidR="37FC4F67" w:rsidRPr="00E46DC8">
        <w:rPr>
          <w:rFonts w:asciiTheme="minorHAnsi" w:hAnsiTheme="minorHAnsi" w:cstheme="minorBidi"/>
          <w:b/>
          <w:sz w:val="20"/>
          <w:szCs w:val="18"/>
        </w:rPr>
        <w:t>3</w:t>
      </w:r>
      <w:r w:rsidR="0058440A" w:rsidRPr="00E46DC8">
        <w:rPr>
          <w:rFonts w:asciiTheme="minorHAnsi" w:hAnsiTheme="minorHAnsi" w:cstheme="minorBidi"/>
          <w:sz w:val="20"/>
          <w:szCs w:val="18"/>
        </w:rPr>
        <w:t xml:space="preserve"> - Oxford city centre’s monthly footfall for the monitoring period compared to the average (2020/21)</w:t>
      </w:r>
    </w:p>
    <w:p w14:paraId="32F533FB" w14:textId="77777777" w:rsidR="0058440A" w:rsidRDefault="0058440A" w:rsidP="0058440A">
      <w:pPr>
        <w:pStyle w:val="Default"/>
        <w:rPr>
          <w:rFonts w:asciiTheme="minorHAnsi" w:hAnsiTheme="minorHAnsi" w:cstheme="minorHAnsi"/>
          <w:sz w:val="22"/>
          <w:szCs w:val="22"/>
        </w:rPr>
      </w:pPr>
    </w:p>
    <w:p w14:paraId="03D7F76F" w14:textId="7BE772DF" w:rsidR="0058440A" w:rsidRPr="00475EDC" w:rsidRDefault="0D1BE199" w:rsidP="009978CB">
      <w:pPr>
        <w:keepNext/>
        <w:numPr>
          <w:ilvl w:val="1"/>
          <w:numId w:val="11"/>
        </w:numPr>
        <w:spacing w:after="200" w:line="276" w:lineRule="auto"/>
        <w:ind w:left="567" w:hanging="567"/>
        <w:jc w:val="both"/>
        <w:rPr>
          <w:rFonts w:eastAsiaTheme="minorEastAsia"/>
        </w:rPr>
      </w:pPr>
      <w:r>
        <w:t xml:space="preserve">Figure </w:t>
      </w:r>
      <w:r w:rsidR="1B03209E">
        <w:t>4</w:t>
      </w:r>
      <w:r>
        <w:t xml:space="preserve"> below focuses on comparing the current monitoring period with the previous year. Seasonal trends can be picked up during the 2019/20 period, however a key </w:t>
      </w:r>
      <w:r w:rsidR="397BF16C">
        <w:t xml:space="preserve">observation </w:t>
      </w:r>
      <w:r>
        <w:t>to note would be the huge reduction in city centre activity in March 2020 when the pandemic began. Trends for the current monitoring period have already been discussed above. The key finding of this graph is the huge difference in footfall numbers between the two periods</w:t>
      </w:r>
      <w:r w:rsidR="397BF16C">
        <w:t xml:space="preserve"> and highlights the abnormal situation which faced all of the country’s retail centres, not only Oxford</w:t>
      </w:r>
      <w:r>
        <w:t xml:space="preserve">. At no point is footfall higher in 2020/21 compared to 12 months previous and this is no more apparent than in April where 2020/21 saw just under 600,000 less people than the previous year. </w:t>
      </w:r>
    </w:p>
    <w:p w14:paraId="0D3B0736" w14:textId="5A63E751" w:rsidR="0058440A" w:rsidRPr="008C66CD" w:rsidRDefault="0058440A" w:rsidP="0058440A">
      <w:pPr>
        <w:pStyle w:val="Default"/>
        <w:rPr>
          <w:rFonts w:asciiTheme="minorHAnsi" w:hAnsiTheme="minorHAnsi" w:cstheme="minorHAnsi"/>
          <w:sz w:val="18"/>
          <w:szCs w:val="20"/>
        </w:rPr>
      </w:pPr>
      <w:r>
        <w:rPr>
          <w:rFonts w:asciiTheme="minorHAnsi" w:hAnsiTheme="minorHAnsi" w:cstheme="minorHAnsi"/>
          <w:szCs w:val="20"/>
        </w:rPr>
        <w:t xml:space="preserve"> </w:t>
      </w:r>
    </w:p>
    <w:p w14:paraId="2C904FE0" w14:textId="77777777" w:rsidR="0058440A" w:rsidRPr="005B2B13" w:rsidRDefault="0058440A" w:rsidP="009832E8">
      <w:pPr>
        <w:pStyle w:val="Default"/>
        <w:jc w:val="center"/>
        <w:rPr>
          <w:rFonts w:asciiTheme="minorHAnsi" w:hAnsiTheme="minorHAnsi" w:cstheme="minorHAnsi"/>
          <w:b/>
          <w:szCs w:val="20"/>
        </w:rPr>
      </w:pPr>
      <w:r>
        <w:rPr>
          <w:noProof/>
          <w:lang w:eastAsia="en-GB"/>
        </w:rPr>
        <w:lastRenderedPageBreak/>
        <w:drawing>
          <wp:inline distT="0" distB="0" distL="0" distR="0" wp14:anchorId="22DEFF61" wp14:editId="5C7A7AB1">
            <wp:extent cx="4860000" cy="3111500"/>
            <wp:effectExtent l="0" t="0" r="17145"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CB88CB" w14:textId="3E09533A" w:rsidR="0058440A" w:rsidRPr="00E46DC8" w:rsidRDefault="008B5533" w:rsidP="00A1220F">
      <w:pPr>
        <w:pStyle w:val="Default"/>
        <w:spacing w:before="240"/>
        <w:jc w:val="center"/>
        <w:rPr>
          <w:rFonts w:asciiTheme="minorHAnsi" w:hAnsiTheme="minorHAnsi" w:cstheme="minorBidi"/>
          <w:sz w:val="20"/>
          <w:szCs w:val="18"/>
        </w:rPr>
      </w:pPr>
      <w:r w:rsidRPr="00E46DC8">
        <w:rPr>
          <w:rFonts w:asciiTheme="minorHAnsi" w:hAnsiTheme="minorHAnsi" w:cstheme="minorBidi"/>
          <w:b/>
          <w:sz w:val="20"/>
          <w:szCs w:val="18"/>
        </w:rPr>
        <w:t>Figure</w:t>
      </w:r>
      <w:r w:rsidR="0058440A" w:rsidRPr="00E46DC8">
        <w:rPr>
          <w:rFonts w:asciiTheme="minorHAnsi" w:hAnsiTheme="minorHAnsi" w:cstheme="minorBidi"/>
          <w:b/>
          <w:sz w:val="20"/>
          <w:szCs w:val="18"/>
        </w:rPr>
        <w:t xml:space="preserve"> </w:t>
      </w:r>
      <w:r w:rsidR="38E69901" w:rsidRPr="00E46DC8">
        <w:rPr>
          <w:rFonts w:asciiTheme="minorHAnsi" w:hAnsiTheme="minorHAnsi" w:cstheme="minorBidi"/>
          <w:b/>
          <w:sz w:val="20"/>
          <w:szCs w:val="18"/>
        </w:rPr>
        <w:t>4</w:t>
      </w:r>
      <w:r w:rsidR="0058440A" w:rsidRPr="00E46DC8">
        <w:rPr>
          <w:rFonts w:asciiTheme="minorHAnsi" w:hAnsiTheme="minorHAnsi" w:cstheme="minorBidi"/>
          <w:sz w:val="20"/>
          <w:szCs w:val="18"/>
        </w:rPr>
        <w:t xml:space="preserve"> – Comparison of footfalls per month in 2019/2020 to 2020/21.</w:t>
      </w:r>
    </w:p>
    <w:p w14:paraId="7C4BA93C" w14:textId="77777777" w:rsidR="0058440A" w:rsidRDefault="0058440A" w:rsidP="0058440A">
      <w:pPr>
        <w:pStyle w:val="Default"/>
        <w:rPr>
          <w:rFonts w:asciiTheme="minorHAnsi" w:hAnsiTheme="minorHAnsi" w:cstheme="minorHAnsi"/>
          <w:b/>
          <w:bCs/>
          <w:sz w:val="20"/>
          <w:szCs w:val="20"/>
        </w:rPr>
      </w:pPr>
    </w:p>
    <w:p w14:paraId="45ADF0BB" w14:textId="535AF504" w:rsidR="006D724A" w:rsidRPr="00A1220F" w:rsidRDefault="61E0F157" w:rsidP="009978CB">
      <w:pPr>
        <w:keepNext/>
        <w:numPr>
          <w:ilvl w:val="1"/>
          <w:numId w:val="11"/>
        </w:numPr>
        <w:spacing w:after="200" w:line="276" w:lineRule="auto"/>
        <w:ind w:left="567" w:hanging="567"/>
        <w:jc w:val="both"/>
        <w:rPr>
          <w:rFonts w:eastAsiaTheme="minorEastAsia"/>
        </w:rPr>
      </w:pPr>
      <w:r>
        <w:t>It is</w:t>
      </w:r>
      <w:r w:rsidR="397BF16C">
        <w:t xml:space="preserve"> too early to </w:t>
      </w:r>
      <w:r w:rsidR="582076C5">
        <w:t xml:space="preserve">predict whether </w:t>
      </w:r>
      <w:r w:rsidR="397BF16C">
        <w:t xml:space="preserve">footfall levels will </w:t>
      </w:r>
      <w:r w:rsidR="1A838550">
        <w:t>recover</w:t>
      </w:r>
      <w:r w:rsidR="397BF16C">
        <w:t xml:space="preserve"> across the city as the country continues to grapple with the impacts of the pandemic, however, future AMRs will continue to report upon ongoing trends in order to understand how vitality of the city centre is</w:t>
      </w:r>
      <w:r w:rsidR="5FA8BB82">
        <w:t xml:space="preserve"> performing</w:t>
      </w:r>
      <w:r w:rsidR="397BF16C">
        <w:t>.</w:t>
      </w:r>
    </w:p>
    <w:p w14:paraId="3E9CA3D8" w14:textId="66A1E01D" w:rsidR="0058440A" w:rsidRPr="00475EDC" w:rsidRDefault="0058440A" w:rsidP="0058440A">
      <w:pPr>
        <w:pStyle w:val="Default"/>
        <w:rPr>
          <w:rFonts w:asciiTheme="minorHAnsi" w:hAnsiTheme="minorHAnsi" w:cstheme="minorHAnsi"/>
          <w:b/>
          <w:szCs w:val="20"/>
        </w:rPr>
      </w:pPr>
      <w:r>
        <w:rPr>
          <w:rFonts w:asciiTheme="minorHAnsi" w:hAnsiTheme="minorHAnsi" w:cstheme="minorHAnsi"/>
          <w:b/>
          <w:szCs w:val="20"/>
        </w:rPr>
        <w:t>V2 - Shoppi</w:t>
      </w:r>
      <w:r w:rsidR="00475EDC">
        <w:rPr>
          <w:rFonts w:asciiTheme="minorHAnsi" w:hAnsiTheme="minorHAnsi" w:cstheme="minorHAnsi"/>
          <w:b/>
          <w:szCs w:val="20"/>
        </w:rPr>
        <w:t>ng frontages in the city centre</w:t>
      </w:r>
    </w:p>
    <w:p w14:paraId="1A4674A1" w14:textId="77777777" w:rsidR="0058440A" w:rsidRDefault="0058440A" w:rsidP="0058440A">
      <w:pPr>
        <w:pStyle w:val="Default"/>
        <w:rPr>
          <w:rFonts w:asciiTheme="minorHAnsi" w:hAnsiTheme="minorHAnsi" w:cstheme="minorHAnsi"/>
          <w:sz w:val="22"/>
          <w:szCs w:val="22"/>
        </w:rPr>
      </w:pPr>
    </w:p>
    <w:p w14:paraId="13DD021E" w14:textId="40AA42DA" w:rsidR="00CD22D6" w:rsidRDefault="17F6E220" w:rsidP="009978CB">
      <w:pPr>
        <w:keepNext/>
        <w:numPr>
          <w:ilvl w:val="1"/>
          <w:numId w:val="11"/>
        </w:numPr>
        <w:spacing w:after="200" w:line="276" w:lineRule="auto"/>
        <w:ind w:left="567" w:hanging="567"/>
        <w:jc w:val="both"/>
        <w:rPr>
          <w:rFonts w:eastAsiaTheme="minorEastAsia"/>
        </w:rPr>
      </w:pPr>
      <w:r>
        <w:t xml:space="preserve">Policy V2 sets out to manage shopping frontages within the city, the policy sets out certain criteria for which planning permission will be granted for particular uses. Before the change in the Use Classes Order this included A1, A2 – 5 and other use classes that </w:t>
      </w:r>
      <w:r w:rsidR="00A9BB21">
        <w:t>would not</w:t>
      </w:r>
      <w:r>
        <w:t xml:space="preserve"> reduce A1 use classes in city centre areas. The annual retail survey is a key means of understanding the proportion of uses within key areas of the city such as the city centre. </w:t>
      </w:r>
    </w:p>
    <w:p w14:paraId="1BF51231" w14:textId="4A1857AA" w:rsidR="0058440A" w:rsidRPr="00475EDC" w:rsidRDefault="419A9941" w:rsidP="009978CB">
      <w:pPr>
        <w:keepNext/>
        <w:numPr>
          <w:ilvl w:val="1"/>
          <w:numId w:val="11"/>
        </w:numPr>
        <w:spacing w:after="200" w:line="276" w:lineRule="auto"/>
        <w:ind w:left="567" w:hanging="567"/>
        <w:jc w:val="both"/>
        <w:rPr>
          <w:rFonts w:eastAsiaTheme="minorEastAsia"/>
        </w:rPr>
      </w:pPr>
      <w:r>
        <w:t>Figure</w:t>
      </w:r>
      <w:r w:rsidR="0D1BE199">
        <w:t xml:space="preserve"> </w:t>
      </w:r>
      <w:r w:rsidR="198CA482">
        <w:t>5</w:t>
      </w:r>
      <w:r w:rsidR="0D1BE199">
        <w:t xml:space="preserve"> below compares the composition of use classes across Oxford’s central areas. It is clear to see that the A1 use class (the majority of which is shops) dominates central areas </w:t>
      </w:r>
      <w:r w:rsidR="1649B85E">
        <w:t>with</w:t>
      </w:r>
      <w:r w:rsidR="0D1BE199">
        <w:t xml:space="preserve"> over 60% in both the primary central area and the Westgate Shopping Centre. Policy V2 in the Local Plan aims to keep A1 use classes at over 60% in primary and Westgate frontages and at 40% in secondary areas. </w:t>
      </w:r>
    </w:p>
    <w:p w14:paraId="23C7A324" w14:textId="77777777" w:rsidR="0058440A" w:rsidRDefault="0058440A" w:rsidP="0058440A">
      <w:pPr>
        <w:pStyle w:val="Default"/>
        <w:rPr>
          <w:rFonts w:asciiTheme="minorHAnsi" w:hAnsiTheme="minorHAnsi" w:cstheme="minorHAnsi"/>
          <w:sz w:val="22"/>
          <w:szCs w:val="22"/>
        </w:rPr>
      </w:pPr>
    </w:p>
    <w:p w14:paraId="3CCA5E8A" w14:textId="77777777" w:rsidR="0058440A" w:rsidRDefault="0058440A" w:rsidP="0030723D">
      <w:pPr>
        <w:pStyle w:val="Default"/>
        <w:jc w:val="center"/>
        <w:rPr>
          <w:rFonts w:asciiTheme="minorHAnsi" w:hAnsiTheme="minorHAnsi" w:cstheme="minorHAnsi"/>
          <w:sz w:val="22"/>
          <w:szCs w:val="22"/>
        </w:rPr>
      </w:pPr>
      <w:r>
        <w:rPr>
          <w:noProof/>
          <w:lang w:eastAsia="en-GB"/>
        </w:rPr>
        <w:lastRenderedPageBreak/>
        <w:drawing>
          <wp:inline distT="0" distB="0" distL="0" distR="0" wp14:anchorId="4484B32F" wp14:editId="440C2B0D">
            <wp:extent cx="4860000" cy="3169486"/>
            <wp:effectExtent l="0" t="0" r="17145"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99B265" w14:textId="06CA9B82" w:rsidR="0058440A" w:rsidRPr="00D61AF2" w:rsidRDefault="00FB6398" w:rsidP="00A1220F">
      <w:pPr>
        <w:pStyle w:val="Default"/>
        <w:spacing w:before="240"/>
        <w:jc w:val="center"/>
        <w:rPr>
          <w:rFonts w:asciiTheme="minorHAnsi" w:hAnsiTheme="minorHAnsi" w:cstheme="minorBidi"/>
          <w:sz w:val="22"/>
          <w:szCs w:val="22"/>
        </w:rPr>
      </w:pPr>
      <w:r w:rsidRPr="00E46DC8">
        <w:rPr>
          <w:rFonts w:asciiTheme="minorHAnsi" w:hAnsiTheme="minorHAnsi" w:cstheme="minorBidi"/>
          <w:b/>
          <w:sz w:val="20"/>
          <w:szCs w:val="18"/>
        </w:rPr>
        <w:t>Figure</w:t>
      </w:r>
      <w:r w:rsidR="0058440A" w:rsidRPr="00E46DC8">
        <w:rPr>
          <w:rFonts w:asciiTheme="minorHAnsi" w:hAnsiTheme="minorHAnsi" w:cstheme="minorBidi"/>
          <w:b/>
          <w:sz w:val="20"/>
          <w:szCs w:val="18"/>
        </w:rPr>
        <w:t xml:space="preserve"> </w:t>
      </w:r>
      <w:r w:rsidR="56A9B119" w:rsidRPr="00E46DC8">
        <w:rPr>
          <w:rFonts w:asciiTheme="minorHAnsi" w:hAnsiTheme="minorHAnsi" w:cstheme="minorBidi"/>
          <w:b/>
          <w:sz w:val="20"/>
          <w:szCs w:val="18"/>
        </w:rPr>
        <w:t>5</w:t>
      </w:r>
      <w:r w:rsidR="0058440A" w:rsidRPr="00E46DC8">
        <w:rPr>
          <w:rFonts w:asciiTheme="minorHAnsi" w:hAnsiTheme="minorHAnsi" w:cstheme="minorBidi"/>
          <w:sz w:val="20"/>
          <w:szCs w:val="18"/>
        </w:rPr>
        <w:t>: The percentage share of use classes and vacancies across Oxford’s city centre areas</w:t>
      </w:r>
    </w:p>
    <w:p w14:paraId="34D96F8C" w14:textId="77777777" w:rsidR="00D84669" w:rsidRDefault="00D84669" w:rsidP="004C6D31">
      <w:pPr>
        <w:pStyle w:val="Default"/>
        <w:rPr>
          <w:rFonts w:asciiTheme="minorHAnsi" w:hAnsiTheme="minorHAnsi" w:cstheme="minorHAnsi"/>
          <w:sz w:val="22"/>
          <w:szCs w:val="22"/>
        </w:rPr>
      </w:pPr>
    </w:p>
    <w:p w14:paraId="2EF9BED3" w14:textId="4DFF118C" w:rsidR="004C6D31" w:rsidRDefault="0AD4C5BA" w:rsidP="009978CB">
      <w:pPr>
        <w:keepNext/>
        <w:numPr>
          <w:ilvl w:val="1"/>
          <w:numId w:val="11"/>
        </w:numPr>
        <w:spacing w:after="200" w:line="276" w:lineRule="auto"/>
        <w:ind w:left="567" w:hanging="567"/>
        <w:jc w:val="both"/>
        <w:rPr>
          <w:rFonts w:eastAsiaTheme="minorEastAsia"/>
        </w:rPr>
      </w:pPr>
      <w:r>
        <w:t>According to this data, A1 use classes in secondary areas have dropped to below 40%, which could be explained by the challenging conditions by created by the Covid-19</w:t>
      </w:r>
      <w:r w:rsidR="31FCEC59">
        <w:t xml:space="preserve"> pandemic</w:t>
      </w:r>
      <w:r>
        <w:t xml:space="preserve">, however, it is difficult to determine at this stage whether this will be an ongoing trend, or whether there will be some level of recovery for the following monitoring year – much of this will depend on how the current situation with the pandemic develops. </w:t>
      </w:r>
      <w:r w:rsidR="17F6E220">
        <w:t xml:space="preserve">Looking at pre pandemic data, the proportion of A1 use classes in the city secondary areas in both 2018 and 2019 were up towards 45%. This shows </w:t>
      </w:r>
      <w:r w:rsidR="7F2130F9">
        <w:t>a</w:t>
      </w:r>
      <w:r w:rsidR="17F6E220">
        <w:t xml:space="preserve"> small percentage reduction in the A1 use class in secondary city areas over the last three years.     </w:t>
      </w:r>
      <w:r>
        <w:t xml:space="preserve"> </w:t>
      </w:r>
    </w:p>
    <w:p w14:paraId="355D9380" w14:textId="726B14A8" w:rsidR="0058440A" w:rsidRPr="00475EDC" w:rsidRDefault="0D1BE199" w:rsidP="009978CB">
      <w:pPr>
        <w:keepNext/>
        <w:numPr>
          <w:ilvl w:val="1"/>
          <w:numId w:val="11"/>
        </w:numPr>
        <w:spacing w:after="200" w:line="276" w:lineRule="auto"/>
        <w:ind w:left="567" w:hanging="567"/>
        <w:jc w:val="both"/>
        <w:rPr>
          <w:rFonts w:eastAsiaTheme="minorEastAsia"/>
        </w:rPr>
      </w:pPr>
      <w:r>
        <w:t xml:space="preserve">In </w:t>
      </w:r>
      <w:r w:rsidR="771F0170">
        <w:t>all</w:t>
      </w:r>
      <w:r>
        <w:t xml:space="preserve"> the city’s central areas there are a</w:t>
      </w:r>
      <w:r w:rsidR="0AD4C5BA">
        <w:t>lso</w:t>
      </w:r>
      <w:r>
        <w:t xml:space="preserve"> notable percentage</w:t>
      </w:r>
      <w:r w:rsidR="0AD4C5BA">
        <w:t>s</w:t>
      </w:r>
      <w:r>
        <w:t xml:space="preserve"> of A2, A3 and A4 use classes, especially in A3 where the city’s secondary frontage area sees over 20% share of total use class</w:t>
      </w:r>
      <w:r w:rsidR="0AD4C5BA">
        <w:t>. This reflects the multi-faceted nature of the area and contributes to the vitality of the area through providing various uses, beyond retail, for visitors to utilise and enjoy. It could also help to</w:t>
      </w:r>
      <w:r>
        <w:t xml:space="preserve"> explain why the secondary frontage’s A1 composition is comparatively low to other central areas. </w:t>
      </w:r>
      <w:r w:rsidR="0AD4C5BA">
        <w:t>Other use classes including C,</w:t>
      </w:r>
      <w:r w:rsidR="342FF827">
        <w:t xml:space="preserve"> </w:t>
      </w:r>
      <w:r w:rsidR="0AD4C5BA">
        <w:t>D and Sui Generis also make up a small part of Oxford’s city centre frontage.</w:t>
      </w:r>
    </w:p>
    <w:p w14:paraId="2B2FB0AC" w14:textId="6F26D857" w:rsidR="00475EDC" w:rsidRPr="0032728C" w:rsidRDefault="0AD4C5BA" w:rsidP="009978CB">
      <w:pPr>
        <w:keepNext/>
        <w:numPr>
          <w:ilvl w:val="1"/>
          <w:numId w:val="11"/>
        </w:numPr>
        <w:spacing w:after="200" w:line="276" w:lineRule="auto"/>
        <w:ind w:left="567" w:hanging="567"/>
        <w:jc w:val="both"/>
      </w:pPr>
      <w:r>
        <w:t>V</w:t>
      </w:r>
      <w:r w:rsidR="0D1BE199">
        <w:t>acancy rates are over 10% in all of the central areas</w:t>
      </w:r>
      <w:r>
        <w:t>.</w:t>
      </w:r>
      <w:r w:rsidR="17F6E220">
        <w:t xml:space="preserve"> When primary and secondary vacancy rates in the current monitoring period are </w:t>
      </w:r>
      <w:r w:rsidR="3E872AFC">
        <w:t>combined,</w:t>
      </w:r>
      <w:r w:rsidR="17F6E220">
        <w:t xml:space="preserve"> they total at just over 15%. This compares to vacancy rates of just under 13% in 2019 and just under 10% in 2018. This data shows a clear upward trend in vacancies over the last few years. </w:t>
      </w:r>
      <w:r>
        <w:t>Keeping vacancy rates at below 10% is a key target for the City Council especially when trying to create a vibrant city centre. Whether or not these vacancy rates are a direct result of the pressures of the ongoing pandemic is hard to say definitively, but</w:t>
      </w:r>
      <w:r w:rsidR="0E593B65">
        <w:t xml:space="preserve"> some vacancies are a result of preparation for redevelopment, for example</w:t>
      </w:r>
      <w:r w:rsidR="5A88C9A9">
        <w:t xml:space="preserve"> 13-21 Cornmarket Street (18/00258/FUL and 19/03189/VAR) and</w:t>
      </w:r>
      <w:r w:rsidR="0E593B65">
        <w:t xml:space="preserve"> the Clarendon Centre </w:t>
      </w:r>
      <w:r w:rsidR="0E593B65">
        <w:lastRenderedPageBreak/>
        <w:t>(21/00110/FUL)</w:t>
      </w:r>
      <w:r w:rsidR="249C3CB4">
        <w:t xml:space="preserve">.  This will </w:t>
      </w:r>
      <w:r>
        <w:t>be something for future AMRs to continue to monitor</w:t>
      </w:r>
      <w:r w:rsidR="0D1BE199">
        <w:t xml:space="preserve"> as the city aims to re-establish itself in a post pandemic era.       </w:t>
      </w:r>
    </w:p>
    <w:p w14:paraId="7818FACA" w14:textId="451365D8" w:rsidR="00CA5873" w:rsidRDefault="0058440A" w:rsidP="0058440A">
      <w:pPr>
        <w:pStyle w:val="Default"/>
        <w:rPr>
          <w:rFonts w:asciiTheme="minorHAnsi" w:hAnsiTheme="minorHAnsi" w:cstheme="minorHAnsi"/>
          <w:b/>
          <w:szCs w:val="20"/>
        </w:rPr>
      </w:pPr>
      <w:r>
        <w:rPr>
          <w:rFonts w:asciiTheme="minorHAnsi" w:hAnsiTheme="minorHAnsi" w:cstheme="minorHAnsi"/>
          <w:b/>
          <w:szCs w:val="20"/>
        </w:rPr>
        <w:t>V</w:t>
      </w:r>
      <w:r w:rsidR="0032728C">
        <w:rPr>
          <w:rFonts w:asciiTheme="minorHAnsi" w:hAnsiTheme="minorHAnsi" w:cstheme="minorHAnsi"/>
          <w:b/>
          <w:szCs w:val="20"/>
        </w:rPr>
        <w:t xml:space="preserve">3 – Covered Market </w:t>
      </w:r>
    </w:p>
    <w:p w14:paraId="33921F2E" w14:textId="431C6F87" w:rsidR="0058440A" w:rsidRPr="0032728C" w:rsidRDefault="0D1BE199" w:rsidP="009978CB">
      <w:pPr>
        <w:keepNext/>
        <w:numPr>
          <w:ilvl w:val="1"/>
          <w:numId w:val="11"/>
        </w:numPr>
        <w:spacing w:before="240" w:after="200" w:line="276" w:lineRule="auto"/>
        <w:ind w:left="567" w:hanging="567"/>
        <w:jc w:val="both"/>
        <w:rPr>
          <w:rFonts w:eastAsiaTheme="minorEastAsia"/>
        </w:rPr>
      </w:pPr>
      <w:r>
        <w:t xml:space="preserve">No data was collected on the Covered Market during the pandemic. It will be covered in </w:t>
      </w:r>
      <w:r w:rsidR="1A5EE984">
        <w:t xml:space="preserve">the </w:t>
      </w:r>
      <w:r>
        <w:t xml:space="preserve">next AMR. </w:t>
      </w:r>
    </w:p>
    <w:p w14:paraId="5C39B142" w14:textId="4FA2BCA4" w:rsidR="0058440A" w:rsidRPr="0032728C" w:rsidRDefault="0058440A" w:rsidP="0058440A">
      <w:pPr>
        <w:pStyle w:val="Default"/>
        <w:rPr>
          <w:rFonts w:asciiTheme="minorHAnsi" w:hAnsiTheme="minorHAnsi" w:cstheme="minorHAnsi"/>
          <w:b/>
          <w:szCs w:val="20"/>
        </w:rPr>
      </w:pPr>
      <w:r>
        <w:rPr>
          <w:rFonts w:asciiTheme="minorHAnsi" w:hAnsiTheme="minorHAnsi" w:cstheme="minorHAnsi"/>
          <w:b/>
          <w:szCs w:val="20"/>
        </w:rPr>
        <w:t xml:space="preserve">V4 - District and </w:t>
      </w:r>
      <w:r w:rsidR="0032728C">
        <w:rPr>
          <w:rFonts w:asciiTheme="minorHAnsi" w:hAnsiTheme="minorHAnsi" w:cstheme="minorHAnsi"/>
          <w:b/>
          <w:szCs w:val="20"/>
        </w:rPr>
        <w:t>local shopping centre frontages</w:t>
      </w:r>
    </w:p>
    <w:p w14:paraId="50C6A0F6" w14:textId="3F9D847A" w:rsidR="004C6D31" w:rsidRPr="0032728C" w:rsidRDefault="0AD4C5BA" w:rsidP="009978CB">
      <w:pPr>
        <w:keepNext/>
        <w:numPr>
          <w:ilvl w:val="1"/>
          <w:numId w:val="11"/>
        </w:numPr>
        <w:spacing w:before="240" w:after="200" w:line="276" w:lineRule="auto"/>
        <w:ind w:left="567" w:hanging="567"/>
        <w:jc w:val="both"/>
        <w:rPr>
          <w:rFonts w:eastAsiaTheme="minorEastAsia"/>
        </w:rPr>
      </w:pPr>
      <w:r>
        <w:t xml:space="preserve">Outside of the city centre area, </w:t>
      </w:r>
      <w:r w:rsidR="0D1BE199">
        <w:t>Oxford’s district and local shopping centre frontages also play an important role in providing a wide range of services across the city</w:t>
      </w:r>
      <w:r>
        <w:t xml:space="preserve"> particularly for meeting daily needs of more peripheral communities</w:t>
      </w:r>
      <w:r w:rsidR="0D1BE199">
        <w:t xml:space="preserve">. </w:t>
      </w:r>
      <w:r>
        <w:t>In order to help maintain a balance of uses, Policy V4 sets out for</w:t>
      </w:r>
      <w:r w:rsidR="0D1BE199">
        <w:t xml:space="preserve"> each district centre its own individual targets in terms of A1 use class provision. </w:t>
      </w:r>
    </w:p>
    <w:p w14:paraId="2C5225CB" w14:textId="6DFC3009" w:rsidR="0058440A" w:rsidRPr="008D2F41" w:rsidRDefault="0AD4C5BA" w:rsidP="009978CB">
      <w:pPr>
        <w:keepNext/>
        <w:numPr>
          <w:ilvl w:val="1"/>
          <w:numId w:val="11"/>
        </w:numPr>
        <w:spacing w:after="200" w:line="276" w:lineRule="auto"/>
        <w:ind w:left="567" w:hanging="567"/>
        <w:jc w:val="both"/>
        <w:rPr>
          <w:rFonts w:eastAsiaTheme="minorEastAsia"/>
        </w:rPr>
      </w:pPr>
      <w:r w:rsidRPr="00CA5873">
        <w:t xml:space="preserve">Figure </w:t>
      </w:r>
      <w:r w:rsidR="28B9F554" w:rsidRPr="00CA5873">
        <w:t>6</w:t>
      </w:r>
      <w:r w:rsidRPr="00CA5873">
        <w:t xml:space="preserve"> highlights</w:t>
      </w:r>
      <w:r>
        <w:t xml:space="preserve"> that </w:t>
      </w:r>
      <w:r w:rsidR="0D1BE199">
        <w:t xml:space="preserve">A1 retail provision </w:t>
      </w:r>
      <w:r>
        <w:t>targets were</w:t>
      </w:r>
      <w:r w:rsidR="0D1BE199">
        <w:t xml:space="preserve"> met across all the district centres</w:t>
      </w:r>
      <w:r w:rsidR="281238A1">
        <w:t xml:space="preserve"> where data was collected</w:t>
      </w:r>
      <w:r w:rsidR="0D1BE199">
        <w:t xml:space="preserve"> </w:t>
      </w:r>
      <w:r>
        <w:t>during the 2020/21 monitoring period</w:t>
      </w:r>
      <w:r w:rsidR="43F5A852">
        <w:t xml:space="preserve">.  </w:t>
      </w:r>
      <w:r w:rsidR="0D1BE199">
        <w:t xml:space="preserve">The remainder of the A classes make up a considerable percentage of provision. Notably, A2 use classes are well over 15% in Headington and Summertown, while A3 use classes are well over 20% in East Oxford. </w:t>
      </w:r>
    </w:p>
    <w:p w14:paraId="6680970A" w14:textId="77777777" w:rsidR="0058440A" w:rsidRPr="00D904FF" w:rsidRDefault="0058440A" w:rsidP="0058440A">
      <w:pPr>
        <w:pStyle w:val="Default"/>
        <w:rPr>
          <w:rFonts w:asciiTheme="minorHAnsi" w:hAnsiTheme="minorHAnsi" w:cstheme="minorHAnsi"/>
          <w:sz w:val="22"/>
          <w:szCs w:val="22"/>
        </w:rPr>
      </w:pPr>
    </w:p>
    <w:p w14:paraId="25CE82AE" w14:textId="59934F65" w:rsidR="0058440A" w:rsidRPr="00A1220F" w:rsidRDefault="00FB6398" w:rsidP="00D47ADF">
      <w:pPr>
        <w:pStyle w:val="Default"/>
        <w:jc w:val="center"/>
        <w:rPr>
          <w:rFonts w:asciiTheme="minorHAnsi" w:hAnsiTheme="minorHAnsi" w:cstheme="minorHAnsi"/>
          <w:szCs w:val="20"/>
        </w:rPr>
      </w:pPr>
      <w:r>
        <w:rPr>
          <w:noProof/>
          <w:lang w:eastAsia="en-GB"/>
        </w:rPr>
        <w:drawing>
          <wp:inline distT="0" distB="0" distL="0" distR="0" wp14:anchorId="5B319940" wp14:editId="750317F2">
            <wp:extent cx="4860000" cy="2572284"/>
            <wp:effectExtent l="0" t="0" r="1714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781729" w14:textId="16B16776" w:rsidR="0058440A" w:rsidRPr="00E46DC8" w:rsidRDefault="00FB6398" w:rsidP="00A1220F">
      <w:pPr>
        <w:pStyle w:val="Default"/>
        <w:spacing w:before="240"/>
        <w:jc w:val="center"/>
        <w:rPr>
          <w:rFonts w:asciiTheme="minorHAnsi" w:hAnsiTheme="minorHAnsi" w:cstheme="minorBidi"/>
          <w:sz w:val="20"/>
          <w:szCs w:val="18"/>
        </w:rPr>
      </w:pPr>
      <w:r w:rsidRPr="00E46DC8">
        <w:rPr>
          <w:rFonts w:asciiTheme="minorHAnsi" w:hAnsiTheme="minorHAnsi" w:cstheme="minorBidi"/>
          <w:b/>
          <w:sz w:val="20"/>
          <w:szCs w:val="18"/>
        </w:rPr>
        <w:t>Figure</w:t>
      </w:r>
      <w:r w:rsidR="0058440A" w:rsidRPr="00E46DC8">
        <w:rPr>
          <w:rFonts w:asciiTheme="minorHAnsi" w:hAnsiTheme="minorHAnsi" w:cstheme="minorBidi"/>
          <w:b/>
          <w:sz w:val="20"/>
          <w:szCs w:val="18"/>
        </w:rPr>
        <w:t xml:space="preserve"> </w:t>
      </w:r>
      <w:r w:rsidR="7BC36D46" w:rsidRPr="00E46DC8">
        <w:rPr>
          <w:rFonts w:asciiTheme="minorHAnsi" w:hAnsiTheme="minorHAnsi" w:cstheme="minorBidi"/>
          <w:b/>
          <w:sz w:val="20"/>
          <w:szCs w:val="18"/>
        </w:rPr>
        <w:t>6</w:t>
      </w:r>
      <w:r w:rsidR="0058440A" w:rsidRPr="00E46DC8">
        <w:rPr>
          <w:rFonts w:asciiTheme="minorHAnsi" w:hAnsiTheme="minorHAnsi" w:cstheme="minorBidi"/>
          <w:sz w:val="20"/>
          <w:szCs w:val="18"/>
        </w:rPr>
        <w:t>: The percentage share of use classes and vacancies across Oxford’s district centres</w:t>
      </w:r>
    </w:p>
    <w:p w14:paraId="63C5DDF6" w14:textId="77777777" w:rsidR="007E2369" w:rsidRDefault="007E2369" w:rsidP="0058440A">
      <w:pPr>
        <w:pStyle w:val="Default"/>
        <w:rPr>
          <w:rFonts w:asciiTheme="minorHAnsi" w:hAnsiTheme="minorHAnsi" w:cstheme="minorHAnsi"/>
          <w:szCs w:val="20"/>
        </w:rPr>
      </w:pPr>
    </w:p>
    <w:p w14:paraId="1ECE47FA" w14:textId="5D1D3B04" w:rsidR="00937626" w:rsidRPr="008D2F41" w:rsidRDefault="09E57F59" w:rsidP="009978CB">
      <w:pPr>
        <w:keepNext/>
        <w:numPr>
          <w:ilvl w:val="1"/>
          <w:numId w:val="11"/>
        </w:numPr>
        <w:spacing w:after="200" w:line="276" w:lineRule="auto"/>
        <w:ind w:left="567" w:hanging="567"/>
        <w:jc w:val="both"/>
        <w:rPr>
          <w:rFonts w:eastAsiaTheme="minorEastAsia"/>
        </w:rPr>
      </w:pPr>
      <w:r>
        <w:t xml:space="preserve">A1 percentage share has decreased in all of the district centres surveyed above. Over a </w:t>
      </w:r>
      <w:r w:rsidR="03EB341B">
        <w:t>three-year</w:t>
      </w:r>
      <w:r>
        <w:t xml:space="preserve"> period</w:t>
      </w:r>
      <w:r w:rsidR="647E5412">
        <w:t xml:space="preserve"> (not including last year)</w:t>
      </w:r>
      <w:r>
        <w:t xml:space="preserve"> Headington, </w:t>
      </w:r>
      <w:proofErr w:type="spellStart"/>
      <w:r>
        <w:t>Cowley</w:t>
      </w:r>
      <w:proofErr w:type="spellEnd"/>
      <w:r>
        <w:t xml:space="preserve"> and East Oxford have all seen their percentage share of A1 reduce by over 10%. Summertown has seen a reduction in A1 share too, however the reduction is less (6%).    </w:t>
      </w:r>
    </w:p>
    <w:p w14:paraId="68631E68" w14:textId="49DE41A1" w:rsidR="0058440A" w:rsidRPr="008D2F41" w:rsidRDefault="520EA7BD" w:rsidP="009978CB">
      <w:pPr>
        <w:keepNext/>
        <w:numPr>
          <w:ilvl w:val="1"/>
          <w:numId w:val="11"/>
        </w:numPr>
        <w:spacing w:after="200" w:line="276" w:lineRule="auto"/>
        <w:ind w:left="567" w:hanging="567"/>
        <w:jc w:val="both"/>
        <w:rPr>
          <w:rFonts w:eastAsiaTheme="minorEastAsia"/>
        </w:rPr>
      </w:pPr>
      <w:r>
        <w:t xml:space="preserve">In the main, when compared to previous years, vacancy rates have increased. East Oxford bucks this trend, with vacancy rates over 2% lower when compared to the 17/18 and 18/19 AMR data. </w:t>
      </w:r>
      <w:r w:rsidR="647E5412">
        <w:t xml:space="preserve">Elsewhere, vacancy rates have more than tripled in Headington, just less than doubled in </w:t>
      </w:r>
      <w:proofErr w:type="spellStart"/>
      <w:r w:rsidR="647E5412">
        <w:lastRenderedPageBreak/>
        <w:t>Cowley</w:t>
      </w:r>
      <w:proofErr w:type="spellEnd"/>
      <w:r w:rsidR="647E5412">
        <w:t xml:space="preserve"> and increased by a third in Summertown. These upward trends in vacancy rates need to be carefully monitored and ideally reversed in the years ahead.  </w:t>
      </w:r>
    </w:p>
    <w:p w14:paraId="379CE4DE" w14:textId="1632E63F" w:rsidR="0058440A" w:rsidRPr="00241451" w:rsidRDefault="2DC4994D" w:rsidP="009978CB">
      <w:pPr>
        <w:keepNext/>
        <w:numPr>
          <w:ilvl w:val="1"/>
          <w:numId w:val="11"/>
        </w:numPr>
        <w:spacing w:after="200" w:line="276" w:lineRule="auto"/>
        <w:ind w:left="567" w:hanging="567"/>
        <w:jc w:val="both"/>
        <w:rPr>
          <w:rFonts w:eastAsiaTheme="minorEastAsia"/>
        </w:rPr>
      </w:pPr>
      <w:r>
        <w:t xml:space="preserve">As noted earlier, whilst it will be more challenging to draw analysis on the balance of uses within the city/district/local centres going forwards, due to the changes to the Use Classes Order, the City Council is working on how it will report upon the performance of these areas. An updated monitoring process utilising these updated Use Class definitions will be presented in </w:t>
      </w:r>
      <w:r w:rsidR="500AB093">
        <w:t xml:space="preserve">the </w:t>
      </w:r>
      <w:r w:rsidR="57E79749">
        <w:t>next AMR</w:t>
      </w:r>
      <w:r>
        <w:t xml:space="preserve">. </w:t>
      </w:r>
    </w:p>
    <w:p w14:paraId="0DCD6C8A" w14:textId="789F3574" w:rsidR="00241451" w:rsidRDefault="00241451" w:rsidP="00241451">
      <w:pPr>
        <w:pStyle w:val="Heading2"/>
      </w:pPr>
      <w:bookmarkStart w:id="30" w:name="_Toc88135848"/>
      <w:r>
        <w:t>Sustainable Tourism</w:t>
      </w:r>
      <w:bookmarkEnd w:id="30"/>
    </w:p>
    <w:p w14:paraId="086A5911" w14:textId="0EF3A162" w:rsidR="00241451" w:rsidRDefault="00241451" w:rsidP="009978CB">
      <w:pPr>
        <w:keepNext/>
        <w:numPr>
          <w:ilvl w:val="1"/>
          <w:numId w:val="11"/>
        </w:numPr>
        <w:spacing w:before="240" w:after="200" w:line="276" w:lineRule="auto"/>
        <w:ind w:left="567" w:hanging="567"/>
        <w:jc w:val="both"/>
        <w:rPr>
          <w:rFonts w:eastAsiaTheme="minorEastAsia"/>
        </w:rPr>
      </w:pPr>
      <w:r>
        <w:t>Tourism is an important element of Oxford’s economy and generates a substantial income. The city is world famous and attracts an increasing number of visitors and overnight stays; it is a crucial destination of the national tourism industry. In addition to tourists the short-stay accommodation market is very strong for business travellers in Oxford and provision of more accommodation would additionally help support the economy objectives of this Plan.  However, a very large number of tourists make very short visits, often only for part of, or one day. The economic benefits to the city of these short visits are slight, while the impact of these visits is significant. By contrast, longer stays tend to facilitate greater spend in Oxford’s shops and restaurants which will in turn boost their viability and Oxford’s wider economy.</w:t>
      </w:r>
    </w:p>
    <w:p w14:paraId="3382D836" w14:textId="152CB2E9" w:rsidR="003C14DE" w:rsidRDefault="003C14DE" w:rsidP="009978CB">
      <w:pPr>
        <w:keepNext/>
        <w:numPr>
          <w:ilvl w:val="1"/>
          <w:numId w:val="11"/>
        </w:numPr>
        <w:spacing w:before="240" w:after="200" w:line="276" w:lineRule="auto"/>
        <w:ind w:left="567" w:hanging="567"/>
        <w:jc w:val="both"/>
        <w:rPr>
          <w:rFonts w:eastAsiaTheme="minorEastAsia"/>
        </w:rPr>
      </w:pPr>
      <w:r>
        <w:rPr>
          <w:rFonts w:eastAsiaTheme="minorEastAsia"/>
        </w:rPr>
        <w:t xml:space="preserve">Policy V5: Sustainable Tourism, seeks to encourage development of new tourist accommodation in the most sustainable locations which are not dependent upon the private car and that do not involve the loss of residential dwellings or affect the amenity of neighbours. The policy seeks to preserve as much of the existing offer of short stay accommodation as possible. Policy V5 encourages new tourist attraction in accessible locations well related to existing facilities and where such uses can contribute to regeneration. </w:t>
      </w:r>
    </w:p>
    <w:p w14:paraId="4557E78A" w14:textId="77777777" w:rsidR="003C14DE" w:rsidRPr="00D31B85" w:rsidRDefault="003C14DE" w:rsidP="009978CB">
      <w:pPr>
        <w:keepNext/>
        <w:numPr>
          <w:ilvl w:val="1"/>
          <w:numId w:val="11"/>
        </w:numPr>
        <w:spacing w:after="200" w:line="276" w:lineRule="auto"/>
        <w:ind w:left="567" w:hanging="567"/>
        <w:jc w:val="both"/>
        <w:rPr>
          <w:rFonts w:eastAsiaTheme="minorEastAsia"/>
        </w:rPr>
      </w:pPr>
      <w:r>
        <w:rPr>
          <w:rFonts w:eastAsiaTheme="minorEastAsia"/>
        </w:rPr>
        <w:t xml:space="preserve">Over the current monitoring period, </w:t>
      </w:r>
      <w:r>
        <w:t>permissions were granted for an additional 107 hotel bedrooms.  These were derived from two permissions comprising of changes of use and extensions to existing buildings, as follows:</w:t>
      </w:r>
    </w:p>
    <w:p w14:paraId="585A6BDA" w14:textId="77777777" w:rsidR="003C14DE" w:rsidRPr="00D31B85" w:rsidRDefault="003C14DE" w:rsidP="009978CB">
      <w:pPr>
        <w:pStyle w:val="ListParagraph"/>
        <w:keepNext/>
        <w:numPr>
          <w:ilvl w:val="0"/>
          <w:numId w:val="4"/>
        </w:numPr>
        <w:spacing w:after="200" w:line="276" w:lineRule="auto"/>
        <w:jc w:val="both"/>
        <w:rPr>
          <w:rFonts w:asciiTheme="minorHAnsi" w:eastAsiaTheme="minorEastAsia" w:hAnsiTheme="minorHAnsi" w:cstheme="minorBidi"/>
          <w:szCs w:val="22"/>
        </w:rPr>
      </w:pPr>
      <w:r>
        <w:t>6 bedrooms at The Eagle and Child (19/01456/FUL)</w:t>
      </w:r>
    </w:p>
    <w:p w14:paraId="1FE8786B" w14:textId="77777777" w:rsidR="003C14DE" w:rsidRPr="007C65C2" w:rsidRDefault="003C14DE" w:rsidP="009978CB">
      <w:pPr>
        <w:pStyle w:val="ListParagraph"/>
        <w:keepNext/>
        <w:numPr>
          <w:ilvl w:val="0"/>
          <w:numId w:val="4"/>
        </w:numPr>
        <w:spacing w:after="200" w:line="276" w:lineRule="auto"/>
        <w:jc w:val="both"/>
        <w:rPr>
          <w:rFonts w:asciiTheme="minorHAnsi" w:eastAsiaTheme="minorEastAsia" w:hAnsiTheme="minorHAnsi" w:cstheme="minorBidi"/>
          <w:szCs w:val="22"/>
        </w:rPr>
      </w:pPr>
      <w:r>
        <w:t>101 bedrooms at 1-5 Broad Street and 31 Cornmarket Street (20/02480/FUL)</w:t>
      </w:r>
    </w:p>
    <w:p w14:paraId="36132415" w14:textId="25D11517" w:rsidR="007C65C2" w:rsidRDefault="007C65C2"/>
    <w:p w14:paraId="6122EA45" w14:textId="5BC58C1A" w:rsidR="006E4676" w:rsidRDefault="006E4676"/>
    <w:p w14:paraId="449CB882" w14:textId="77777777" w:rsidR="006E4676" w:rsidRDefault="006E4676">
      <w:r>
        <w:br w:type="page"/>
      </w:r>
    </w:p>
    <w:p w14:paraId="534A12F1" w14:textId="79866BD6" w:rsidR="006E4676" w:rsidRDefault="006E4676" w:rsidP="006E4676">
      <w:pPr>
        <w:pStyle w:val="Heading1"/>
      </w:pPr>
      <w:bookmarkStart w:id="31" w:name="_Toc88135849"/>
      <w:r>
        <w:lastRenderedPageBreak/>
        <w:t>Chapter 4: Strong, vibrant and healthy communities</w:t>
      </w:r>
      <w:bookmarkEnd w:id="31"/>
      <w:r>
        <w:t xml:space="preserve"> </w:t>
      </w:r>
    </w:p>
    <w:p w14:paraId="56182E0C" w14:textId="77777777" w:rsidR="006E4676" w:rsidRDefault="006E4676" w:rsidP="006E4676">
      <w:pPr>
        <w:pStyle w:val="Heading2"/>
      </w:pPr>
      <w:bookmarkStart w:id="32" w:name="_Toc88135850"/>
      <w:r>
        <w:t>Housing completions</w:t>
      </w:r>
      <w:bookmarkEnd w:id="32"/>
      <w:r>
        <w:t xml:space="preserve"> </w:t>
      </w:r>
    </w:p>
    <w:p w14:paraId="3E0E815A" w14:textId="77777777" w:rsidR="006E4676" w:rsidRPr="006E4676" w:rsidRDefault="006E4676" w:rsidP="006E4676">
      <w:pPr>
        <w:pStyle w:val="ListParagraph"/>
        <w:keepNext/>
        <w:numPr>
          <w:ilvl w:val="0"/>
          <w:numId w:val="11"/>
        </w:numPr>
        <w:spacing w:after="200" w:line="276" w:lineRule="auto"/>
        <w:contextualSpacing w:val="0"/>
        <w:jc w:val="both"/>
        <w:rPr>
          <w:rFonts w:asciiTheme="minorHAnsi" w:hAnsiTheme="minorHAnsi" w:cstheme="minorBidi"/>
          <w:vanish/>
          <w:szCs w:val="22"/>
        </w:rPr>
      </w:pPr>
    </w:p>
    <w:p w14:paraId="3E8689C7" w14:textId="7857DF2B" w:rsidR="006E4676" w:rsidRPr="00446E11" w:rsidRDefault="006E4676" w:rsidP="00446E11">
      <w:pPr>
        <w:keepNext/>
        <w:numPr>
          <w:ilvl w:val="1"/>
          <w:numId w:val="11"/>
        </w:numPr>
        <w:spacing w:before="240" w:after="200" w:line="276" w:lineRule="auto"/>
        <w:ind w:left="567" w:hanging="567"/>
        <w:jc w:val="both"/>
        <w:rPr>
          <w:rFonts w:eastAsiaTheme="minorEastAsia"/>
        </w:rPr>
      </w:pPr>
      <w:r w:rsidRPr="00446E11">
        <w:rPr>
          <w:rFonts w:eastAsiaTheme="minorEastAsia"/>
        </w:rPr>
        <w:t xml:space="preserve">In the 2020/21 monitoring year, 743 (net) dwellings were completed in Oxford.  The cumulative number of dwellings completed in the 5 years since the start of the Local Plan period (2016/17 to 2020/21) is 2691 dwellings (net) with the application of ratios for communal accommodation (student and care completions) (Table 7). </w:t>
      </w:r>
    </w:p>
    <w:tbl>
      <w:tblPr>
        <w:tblStyle w:val="TableGrid"/>
        <w:tblW w:w="5811" w:type="dxa"/>
        <w:tblInd w:w="1555" w:type="dxa"/>
        <w:tblLook w:val="04A0" w:firstRow="1" w:lastRow="0" w:firstColumn="1" w:lastColumn="0" w:noHBand="0" w:noVBand="1"/>
      </w:tblPr>
      <w:tblGrid>
        <w:gridCol w:w="2976"/>
        <w:gridCol w:w="2835"/>
      </w:tblGrid>
      <w:tr w:rsidR="006E4676" w14:paraId="47C3B70D" w14:textId="77777777" w:rsidTr="006E4676">
        <w:tc>
          <w:tcPr>
            <w:tcW w:w="2976" w:type="dxa"/>
          </w:tcPr>
          <w:p w14:paraId="129AC948" w14:textId="77777777" w:rsidR="006E4676" w:rsidRDefault="006E4676" w:rsidP="006E4676">
            <w:pPr>
              <w:keepNext/>
              <w:spacing w:after="200" w:line="276" w:lineRule="auto"/>
              <w:jc w:val="center"/>
            </w:pPr>
            <w:r w:rsidRPr="007C65C2">
              <w:rPr>
                <w:rFonts w:cstheme="minorHAnsi"/>
                <w:b/>
                <w:sz w:val="20"/>
                <w:szCs w:val="20"/>
              </w:rPr>
              <w:t>Year</w:t>
            </w:r>
          </w:p>
        </w:tc>
        <w:tc>
          <w:tcPr>
            <w:tcW w:w="2835" w:type="dxa"/>
          </w:tcPr>
          <w:p w14:paraId="57288002" w14:textId="77777777" w:rsidR="006E4676" w:rsidRDefault="006E4676" w:rsidP="006E4676">
            <w:pPr>
              <w:keepNext/>
              <w:spacing w:after="200" w:line="276" w:lineRule="auto"/>
              <w:jc w:val="center"/>
            </w:pPr>
            <w:r w:rsidRPr="007C65C2">
              <w:rPr>
                <w:rFonts w:eastAsia="Calibri" w:cstheme="minorHAnsi"/>
                <w:b/>
                <w:color w:val="262626" w:themeColor="text1" w:themeTint="D9"/>
                <w:sz w:val="20"/>
                <w:szCs w:val="20"/>
              </w:rPr>
              <w:t>Dwellings Completed (net) applying new student and care home ratios from Housing Delivery Test measurement rule book</w:t>
            </w:r>
          </w:p>
        </w:tc>
      </w:tr>
      <w:tr w:rsidR="006E4676" w14:paraId="0238B10B" w14:textId="77777777" w:rsidTr="006E4676">
        <w:tc>
          <w:tcPr>
            <w:tcW w:w="2976" w:type="dxa"/>
          </w:tcPr>
          <w:p w14:paraId="3A523DE6" w14:textId="77777777" w:rsidR="006E4676" w:rsidRDefault="006E4676" w:rsidP="006E4676">
            <w:pPr>
              <w:keepNext/>
              <w:spacing w:after="200" w:line="276" w:lineRule="auto"/>
              <w:jc w:val="center"/>
            </w:pPr>
            <w:r w:rsidRPr="00432792">
              <w:rPr>
                <w:rFonts w:eastAsia="Calibri" w:cstheme="minorHAnsi"/>
                <w:color w:val="262626" w:themeColor="text1" w:themeTint="D9"/>
                <w:sz w:val="20"/>
                <w:szCs w:val="20"/>
              </w:rPr>
              <w:t>2016/17</w:t>
            </w:r>
          </w:p>
        </w:tc>
        <w:tc>
          <w:tcPr>
            <w:tcW w:w="2835" w:type="dxa"/>
          </w:tcPr>
          <w:p w14:paraId="001D61AC" w14:textId="77777777" w:rsidR="006E4676" w:rsidRDefault="006E4676" w:rsidP="006E4676">
            <w:pPr>
              <w:keepNext/>
              <w:spacing w:after="200" w:line="276" w:lineRule="auto"/>
              <w:jc w:val="center"/>
            </w:pPr>
            <w:r w:rsidRPr="00432792">
              <w:rPr>
                <w:rFonts w:cstheme="minorHAnsi"/>
                <w:sz w:val="20"/>
                <w:szCs w:val="20"/>
              </w:rPr>
              <w:t>435</w:t>
            </w:r>
          </w:p>
        </w:tc>
      </w:tr>
      <w:tr w:rsidR="006E4676" w14:paraId="0295B28B" w14:textId="77777777" w:rsidTr="006E4676">
        <w:tc>
          <w:tcPr>
            <w:tcW w:w="2976" w:type="dxa"/>
          </w:tcPr>
          <w:p w14:paraId="53ECB742" w14:textId="77777777" w:rsidR="006E4676" w:rsidRDefault="006E4676" w:rsidP="006E4676">
            <w:pPr>
              <w:keepNext/>
              <w:spacing w:after="200" w:line="276" w:lineRule="auto"/>
              <w:jc w:val="center"/>
            </w:pPr>
            <w:r w:rsidRPr="00432792">
              <w:rPr>
                <w:rFonts w:eastAsia="Calibri" w:cstheme="minorHAnsi"/>
                <w:color w:val="262626" w:themeColor="text1" w:themeTint="D9"/>
                <w:sz w:val="20"/>
                <w:szCs w:val="20"/>
              </w:rPr>
              <w:t>2017/18</w:t>
            </w:r>
          </w:p>
        </w:tc>
        <w:tc>
          <w:tcPr>
            <w:tcW w:w="2835" w:type="dxa"/>
          </w:tcPr>
          <w:p w14:paraId="3B3F3309" w14:textId="77777777" w:rsidR="006E4676" w:rsidRDefault="006E4676" w:rsidP="006E4676">
            <w:pPr>
              <w:keepNext/>
              <w:spacing w:after="200" w:line="276" w:lineRule="auto"/>
              <w:jc w:val="center"/>
            </w:pPr>
            <w:r w:rsidRPr="00432792">
              <w:rPr>
                <w:rFonts w:cstheme="minorHAnsi"/>
                <w:sz w:val="20"/>
                <w:szCs w:val="20"/>
              </w:rPr>
              <w:t>373</w:t>
            </w:r>
          </w:p>
        </w:tc>
      </w:tr>
      <w:tr w:rsidR="006E4676" w14:paraId="447830AC" w14:textId="77777777" w:rsidTr="006E4676">
        <w:tc>
          <w:tcPr>
            <w:tcW w:w="2976" w:type="dxa"/>
          </w:tcPr>
          <w:p w14:paraId="43EF42E8" w14:textId="77777777" w:rsidR="006E4676" w:rsidRDefault="006E4676" w:rsidP="006E4676">
            <w:pPr>
              <w:keepNext/>
              <w:spacing w:after="200" w:line="276" w:lineRule="auto"/>
              <w:jc w:val="center"/>
            </w:pPr>
            <w:r w:rsidRPr="00432792">
              <w:rPr>
                <w:rFonts w:eastAsia="Calibri" w:cstheme="minorHAnsi"/>
                <w:color w:val="262626" w:themeColor="text1" w:themeTint="D9"/>
                <w:sz w:val="20"/>
                <w:szCs w:val="20"/>
              </w:rPr>
              <w:t>2018/19</w:t>
            </w:r>
          </w:p>
        </w:tc>
        <w:tc>
          <w:tcPr>
            <w:tcW w:w="2835" w:type="dxa"/>
          </w:tcPr>
          <w:p w14:paraId="4CE691E7" w14:textId="77777777" w:rsidR="006E4676" w:rsidRDefault="006E4676" w:rsidP="006E4676">
            <w:pPr>
              <w:keepNext/>
              <w:spacing w:after="200" w:line="276" w:lineRule="auto"/>
              <w:jc w:val="center"/>
            </w:pPr>
            <w:r w:rsidRPr="73C076F8">
              <w:rPr>
                <w:sz w:val="20"/>
                <w:szCs w:val="20"/>
              </w:rPr>
              <w:t>35</w:t>
            </w:r>
            <w:r>
              <w:rPr>
                <w:sz w:val="20"/>
                <w:szCs w:val="20"/>
              </w:rPr>
              <w:t>6</w:t>
            </w:r>
          </w:p>
        </w:tc>
      </w:tr>
      <w:tr w:rsidR="006E4676" w14:paraId="798953A0" w14:textId="77777777" w:rsidTr="006E4676">
        <w:tc>
          <w:tcPr>
            <w:tcW w:w="2976" w:type="dxa"/>
          </w:tcPr>
          <w:p w14:paraId="51F00396" w14:textId="77777777" w:rsidR="006E4676" w:rsidRDefault="006E4676" w:rsidP="006E4676">
            <w:pPr>
              <w:keepNext/>
              <w:spacing w:after="200" w:line="276" w:lineRule="auto"/>
              <w:jc w:val="center"/>
            </w:pPr>
            <w:r w:rsidRPr="00432792">
              <w:rPr>
                <w:rFonts w:eastAsia="Calibri" w:cstheme="minorHAnsi"/>
                <w:color w:val="262626" w:themeColor="text1" w:themeTint="D9"/>
                <w:sz w:val="20"/>
                <w:szCs w:val="20"/>
              </w:rPr>
              <w:t>2019/20</w:t>
            </w:r>
          </w:p>
        </w:tc>
        <w:tc>
          <w:tcPr>
            <w:tcW w:w="2835" w:type="dxa"/>
          </w:tcPr>
          <w:p w14:paraId="7FC667CE" w14:textId="77777777" w:rsidR="006E4676" w:rsidRDefault="006E4676" w:rsidP="006E4676">
            <w:pPr>
              <w:keepNext/>
              <w:spacing w:after="200" w:line="276" w:lineRule="auto"/>
              <w:jc w:val="center"/>
            </w:pPr>
            <w:r w:rsidRPr="00432792">
              <w:rPr>
                <w:rFonts w:cstheme="minorHAnsi"/>
                <w:sz w:val="20"/>
                <w:szCs w:val="20"/>
              </w:rPr>
              <w:t>784</w:t>
            </w:r>
          </w:p>
        </w:tc>
      </w:tr>
      <w:tr w:rsidR="006E4676" w14:paraId="0A62E184" w14:textId="77777777" w:rsidTr="006E4676">
        <w:tc>
          <w:tcPr>
            <w:tcW w:w="2976" w:type="dxa"/>
          </w:tcPr>
          <w:p w14:paraId="245A22D4" w14:textId="77777777" w:rsidR="006E4676" w:rsidRDefault="006E4676" w:rsidP="006E4676">
            <w:pPr>
              <w:keepNext/>
              <w:spacing w:after="200" w:line="276" w:lineRule="auto"/>
              <w:jc w:val="center"/>
            </w:pPr>
            <w:r w:rsidRPr="00432792">
              <w:rPr>
                <w:rFonts w:eastAsia="Calibri" w:cstheme="minorHAnsi"/>
                <w:b/>
                <w:color w:val="262626" w:themeColor="text1" w:themeTint="D9"/>
                <w:sz w:val="20"/>
                <w:szCs w:val="20"/>
              </w:rPr>
              <w:t>2020/21</w:t>
            </w:r>
          </w:p>
        </w:tc>
        <w:tc>
          <w:tcPr>
            <w:tcW w:w="2835" w:type="dxa"/>
          </w:tcPr>
          <w:p w14:paraId="30F6E2AD" w14:textId="77777777" w:rsidR="006E4676" w:rsidRDefault="006E4676" w:rsidP="006E4676">
            <w:pPr>
              <w:keepNext/>
              <w:spacing w:after="200" w:line="276" w:lineRule="auto"/>
              <w:jc w:val="center"/>
            </w:pPr>
            <w:r w:rsidRPr="00432792">
              <w:rPr>
                <w:rFonts w:cstheme="minorHAnsi"/>
                <w:b/>
                <w:sz w:val="20"/>
                <w:szCs w:val="20"/>
              </w:rPr>
              <w:t>743</w:t>
            </w:r>
          </w:p>
        </w:tc>
      </w:tr>
      <w:tr w:rsidR="006E4676" w14:paraId="5EFC9144" w14:textId="77777777" w:rsidTr="006E4676">
        <w:tc>
          <w:tcPr>
            <w:tcW w:w="2976" w:type="dxa"/>
          </w:tcPr>
          <w:p w14:paraId="0E723031" w14:textId="77777777" w:rsidR="006E4676" w:rsidRDefault="006E4676" w:rsidP="006E4676">
            <w:pPr>
              <w:keepNext/>
              <w:spacing w:after="200" w:line="276" w:lineRule="auto"/>
              <w:jc w:val="center"/>
            </w:pPr>
            <w:r w:rsidRPr="00432792">
              <w:rPr>
                <w:rFonts w:eastAsia="Calibri" w:cstheme="minorHAnsi"/>
                <w:b/>
                <w:color w:val="262626" w:themeColor="text1" w:themeTint="D9"/>
                <w:sz w:val="20"/>
                <w:szCs w:val="20"/>
              </w:rPr>
              <w:t>TOTAL:</w:t>
            </w:r>
          </w:p>
        </w:tc>
        <w:tc>
          <w:tcPr>
            <w:tcW w:w="2835" w:type="dxa"/>
          </w:tcPr>
          <w:p w14:paraId="4DAF73DC" w14:textId="77777777" w:rsidR="006E4676" w:rsidRDefault="006E4676" w:rsidP="006E4676">
            <w:pPr>
              <w:keepNext/>
              <w:spacing w:after="200" w:line="276" w:lineRule="auto"/>
              <w:jc w:val="center"/>
            </w:pPr>
            <w:r w:rsidRPr="108EF35C">
              <w:rPr>
                <w:b/>
                <w:bCs/>
                <w:sz w:val="20"/>
                <w:szCs w:val="20"/>
              </w:rPr>
              <w:t>2691</w:t>
            </w:r>
          </w:p>
        </w:tc>
      </w:tr>
    </w:tbl>
    <w:p w14:paraId="1BEC17EA" w14:textId="77777777" w:rsidR="006E4676" w:rsidRDefault="006E4676" w:rsidP="006E4676">
      <w:pPr>
        <w:autoSpaceDE w:val="0"/>
        <w:autoSpaceDN w:val="0"/>
        <w:adjustRightInd w:val="0"/>
        <w:spacing w:before="240"/>
        <w:ind w:left="993" w:hanging="1135"/>
        <w:jc w:val="center"/>
        <w:rPr>
          <w:rFonts w:eastAsia="Calibri"/>
          <w:color w:val="000000" w:themeColor="text1"/>
          <w:sz w:val="20"/>
          <w:szCs w:val="18"/>
        </w:rPr>
      </w:pPr>
      <w:r w:rsidRPr="00E46DC8">
        <w:rPr>
          <w:rFonts w:eastAsia="Calibri"/>
          <w:b/>
          <w:bCs/>
          <w:color w:val="000000" w:themeColor="text1"/>
          <w:sz w:val="20"/>
          <w:szCs w:val="18"/>
        </w:rPr>
        <w:t xml:space="preserve">Table 7: </w:t>
      </w:r>
      <w:r w:rsidRPr="00E46DC8">
        <w:rPr>
          <w:rFonts w:eastAsia="Calibri"/>
          <w:color w:val="000000" w:themeColor="text1"/>
          <w:sz w:val="20"/>
          <w:szCs w:val="18"/>
        </w:rPr>
        <w:t>Net additional dwellings completed since the start of the Local Plan period</w:t>
      </w:r>
    </w:p>
    <w:p w14:paraId="5E197B44" w14:textId="5CFC72E3" w:rsidR="006E4676" w:rsidRPr="00446E11" w:rsidRDefault="006E4676" w:rsidP="00446E11">
      <w:pPr>
        <w:keepNext/>
        <w:ind w:left="567"/>
        <w:jc w:val="both"/>
        <w:rPr>
          <w:sz w:val="18"/>
          <w:szCs w:val="18"/>
        </w:rPr>
      </w:pPr>
      <w:r w:rsidRPr="00446E11">
        <w:rPr>
          <w:sz w:val="18"/>
          <w:szCs w:val="18"/>
        </w:rPr>
        <w:t xml:space="preserve">**The figures for 2017/18-2019/20 were reported in the 2020 Housing Delivery test measurement available at </w:t>
      </w:r>
      <w:hyperlink r:id="rId21">
        <w:r w:rsidRPr="00446E11">
          <w:rPr>
            <w:rStyle w:val="Hyperlink"/>
            <w:sz w:val="18"/>
            <w:szCs w:val="18"/>
          </w:rPr>
          <w:t>https://www.gov.uk/government/publications/housing-delivery-test-2020-measurement</w:t>
        </w:r>
      </w:hyperlink>
      <w:r w:rsidRPr="00446E11">
        <w:rPr>
          <w:sz w:val="18"/>
          <w:szCs w:val="18"/>
        </w:rPr>
        <w:t xml:space="preserve">  Note the 2018/19 figure above is different to that which is included in the 2020 HDT due to a discrepancy between the housing completions number for 18/19 that the council uses for monitoring and those used by MHCLG (now rebranded as the Department for Levelling Up, Housing and Communities).</w:t>
      </w:r>
    </w:p>
    <w:p w14:paraId="5BD053FE" w14:textId="7AD4469F" w:rsidR="006E4676" w:rsidRPr="00446E11" w:rsidRDefault="006E4676" w:rsidP="00446E11">
      <w:pPr>
        <w:keepNext/>
        <w:numPr>
          <w:ilvl w:val="1"/>
          <w:numId w:val="11"/>
        </w:numPr>
        <w:spacing w:before="240" w:after="200" w:line="276" w:lineRule="auto"/>
        <w:ind w:left="567" w:hanging="567"/>
        <w:jc w:val="both"/>
        <w:rPr>
          <w:rFonts w:eastAsiaTheme="minorEastAsia"/>
        </w:rPr>
      </w:pPr>
      <w:r w:rsidRPr="00446E11">
        <w:rPr>
          <w:rFonts w:eastAsiaTheme="minorEastAsia"/>
        </w:rPr>
        <w:t xml:space="preserve">The local Plan’s housing trajectory had projected by that by 2020/21, 2375 dwellings (net) would have been provided (based on the stepped trajectory of 475 dwellings per annum between 2016/17 </w:t>
      </w:r>
      <w:r w:rsidR="00446E11" w:rsidRPr="00446E11">
        <w:rPr>
          <w:rFonts w:eastAsiaTheme="minorEastAsia"/>
        </w:rPr>
        <w:t xml:space="preserve">to 2020/21 and 567 dwellings per annum between 2021/22 to 2035/36. Figure 7 shows the Local Plan housing requirement compared to completions and projections whilst Figure 8 provides a comparison between cumulative requirement and cumulative supply. </w:t>
      </w:r>
    </w:p>
    <w:p w14:paraId="37ED86E5" w14:textId="46D837F9" w:rsidR="00FB6398" w:rsidRPr="00446E11" w:rsidRDefault="00FB6398" w:rsidP="00446E11">
      <w:pPr>
        <w:pStyle w:val="NoSpacing"/>
      </w:pPr>
    </w:p>
    <w:p w14:paraId="4DEC9482" w14:textId="77777777" w:rsidR="0030723D" w:rsidRDefault="00FB6398" w:rsidP="001431C3">
      <w:pPr>
        <w:jc w:val="center"/>
        <w:rPr>
          <w:b/>
          <w:bCs/>
          <w:sz w:val="20"/>
          <w:szCs w:val="20"/>
        </w:rPr>
      </w:pPr>
      <w:r>
        <w:rPr>
          <w:noProof/>
          <w:lang w:eastAsia="en-GB"/>
        </w:rPr>
        <w:lastRenderedPageBreak/>
        <w:drawing>
          <wp:inline distT="0" distB="0" distL="0" distR="0" wp14:anchorId="2FBE4F5E" wp14:editId="2139CB5C">
            <wp:extent cx="4860000" cy="3058795"/>
            <wp:effectExtent l="0" t="0" r="17145"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D20BAA" w14:textId="49164F73" w:rsidR="00255127" w:rsidRDefault="00FB6398" w:rsidP="00255127">
      <w:pPr>
        <w:spacing w:before="240"/>
        <w:jc w:val="center"/>
        <w:rPr>
          <w:sz w:val="20"/>
          <w:szCs w:val="20"/>
        </w:rPr>
      </w:pPr>
      <w:r w:rsidRPr="00E46DC8">
        <w:rPr>
          <w:b/>
          <w:bCs/>
          <w:sz w:val="20"/>
          <w:szCs w:val="20"/>
        </w:rPr>
        <w:t xml:space="preserve">Figure </w:t>
      </w:r>
      <w:r w:rsidR="5AA68026" w:rsidRPr="00E46DC8">
        <w:rPr>
          <w:b/>
          <w:bCs/>
          <w:sz w:val="20"/>
          <w:szCs w:val="20"/>
        </w:rPr>
        <w:t>7</w:t>
      </w:r>
      <w:r w:rsidRPr="00E46DC8">
        <w:rPr>
          <w:b/>
          <w:bCs/>
          <w:sz w:val="20"/>
          <w:szCs w:val="20"/>
        </w:rPr>
        <w:t xml:space="preserve">: </w:t>
      </w:r>
      <w:r w:rsidRPr="00E46DC8">
        <w:rPr>
          <w:sz w:val="20"/>
          <w:szCs w:val="20"/>
        </w:rPr>
        <w:t xml:space="preserve">Local Plan 2036 housing requirement compared to completions and projections </w:t>
      </w:r>
    </w:p>
    <w:p w14:paraId="4B0ECCB6" w14:textId="77777777" w:rsidR="001431C3" w:rsidRDefault="001431C3" w:rsidP="001431C3">
      <w:pPr>
        <w:jc w:val="center"/>
        <w:rPr>
          <w:b/>
          <w:sz w:val="20"/>
          <w:szCs w:val="20"/>
        </w:rPr>
      </w:pPr>
      <w:r>
        <w:rPr>
          <w:noProof/>
          <w:lang w:eastAsia="en-GB"/>
        </w:rPr>
        <w:drawing>
          <wp:inline distT="0" distB="0" distL="0" distR="0" wp14:anchorId="52FCE89A" wp14:editId="4ED4247A">
            <wp:extent cx="4860000" cy="3438525"/>
            <wp:effectExtent l="0" t="0" r="1714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C49B94" w14:textId="11D03345" w:rsidR="00B509B2" w:rsidRDefault="00B509B2" w:rsidP="001431C3">
      <w:pPr>
        <w:ind w:left="720"/>
        <w:jc w:val="center"/>
        <w:rPr>
          <w:sz w:val="20"/>
          <w:szCs w:val="20"/>
        </w:rPr>
      </w:pPr>
      <w:r w:rsidRPr="00C1148A">
        <w:rPr>
          <w:b/>
          <w:sz w:val="20"/>
          <w:szCs w:val="20"/>
        </w:rPr>
        <w:t>Figure 8</w:t>
      </w:r>
      <w:r w:rsidR="00C1148A" w:rsidRPr="00C1148A">
        <w:rPr>
          <w:b/>
          <w:sz w:val="20"/>
          <w:szCs w:val="20"/>
        </w:rPr>
        <w:t>:</w:t>
      </w:r>
      <w:r w:rsidR="00C1148A">
        <w:rPr>
          <w:sz w:val="20"/>
          <w:szCs w:val="20"/>
        </w:rPr>
        <w:t xml:space="preserve"> Cumulative Requirement and Cumulative Supply to 2036</w:t>
      </w:r>
    </w:p>
    <w:p w14:paraId="1BF2DDE2" w14:textId="33CA0E1D" w:rsidR="0010616B" w:rsidRDefault="007C65C2" w:rsidP="006971C8">
      <w:pPr>
        <w:keepNext/>
        <w:numPr>
          <w:ilvl w:val="1"/>
          <w:numId w:val="11"/>
        </w:numPr>
        <w:spacing w:after="200" w:line="276" w:lineRule="auto"/>
        <w:jc w:val="both"/>
      </w:pPr>
      <w:r>
        <w:lastRenderedPageBreak/>
        <w:t xml:space="preserve">The data shows that of the 743 completions in 2020/21, 144 were affordable dwellings. </w:t>
      </w:r>
      <w:r w:rsidR="0010616B">
        <w:t xml:space="preserve"> Table 8 shows a breakdown of the</w:t>
      </w:r>
      <w:r w:rsidR="008E35D9">
        <w:t xml:space="preserve"> sites that delivered affordable housing during the monitoring year including the affordable </w:t>
      </w:r>
      <w:r w:rsidR="0010616B">
        <w:t>tenure</w:t>
      </w:r>
      <w:r w:rsidR="008E35D9">
        <w:t xml:space="preserve">. </w:t>
      </w:r>
    </w:p>
    <w:tbl>
      <w:tblPr>
        <w:tblStyle w:val="TableGrid"/>
        <w:tblW w:w="0" w:type="auto"/>
        <w:tblInd w:w="567" w:type="dxa"/>
        <w:tblLook w:val="04A0" w:firstRow="1" w:lastRow="0" w:firstColumn="1" w:lastColumn="0" w:noHBand="0" w:noVBand="1"/>
      </w:tblPr>
      <w:tblGrid>
        <w:gridCol w:w="1464"/>
        <w:gridCol w:w="1650"/>
        <w:gridCol w:w="1843"/>
        <w:gridCol w:w="1559"/>
        <w:gridCol w:w="1417"/>
      </w:tblGrid>
      <w:tr w:rsidR="0010616B" w14:paraId="54BB5BE7" w14:textId="77777777" w:rsidTr="008E35D9">
        <w:tc>
          <w:tcPr>
            <w:tcW w:w="1464" w:type="dxa"/>
          </w:tcPr>
          <w:p w14:paraId="3F87C39A" w14:textId="77777777" w:rsidR="0010616B" w:rsidRPr="00B509B2" w:rsidRDefault="0010616B" w:rsidP="009950B8">
            <w:pPr>
              <w:keepNext/>
              <w:spacing w:after="200" w:line="276" w:lineRule="auto"/>
              <w:jc w:val="center"/>
              <w:rPr>
                <w:b/>
                <w:sz w:val="20"/>
                <w:szCs w:val="20"/>
              </w:rPr>
            </w:pPr>
            <w:r w:rsidRPr="00B509B2">
              <w:rPr>
                <w:b/>
                <w:sz w:val="20"/>
                <w:szCs w:val="20"/>
              </w:rPr>
              <w:t>Site Location</w:t>
            </w:r>
          </w:p>
        </w:tc>
        <w:tc>
          <w:tcPr>
            <w:tcW w:w="1650" w:type="dxa"/>
          </w:tcPr>
          <w:p w14:paraId="5667C502" w14:textId="77777777" w:rsidR="0010616B" w:rsidRPr="00B509B2" w:rsidRDefault="0010616B" w:rsidP="009950B8">
            <w:pPr>
              <w:keepNext/>
              <w:spacing w:after="200" w:line="276" w:lineRule="auto"/>
              <w:jc w:val="center"/>
              <w:rPr>
                <w:b/>
                <w:sz w:val="20"/>
                <w:szCs w:val="20"/>
              </w:rPr>
            </w:pPr>
            <w:r w:rsidRPr="00B509B2">
              <w:rPr>
                <w:b/>
                <w:sz w:val="20"/>
                <w:szCs w:val="20"/>
              </w:rPr>
              <w:t>Planning application reference</w:t>
            </w:r>
          </w:p>
        </w:tc>
        <w:tc>
          <w:tcPr>
            <w:tcW w:w="1843" w:type="dxa"/>
          </w:tcPr>
          <w:p w14:paraId="65FDC44D" w14:textId="69E4D7FF" w:rsidR="0010616B" w:rsidRPr="00B509B2" w:rsidRDefault="0010616B" w:rsidP="00B509B2">
            <w:pPr>
              <w:keepNext/>
              <w:spacing w:after="200" w:line="276" w:lineRule="auto"/>
              <w:jc w:val="center"/>
              <w:rPr>
                <w:b/>
                <w:sz w:val="20"/>
                <w:szCs w:val="20"/>
              </w:rPr>
            </w:pPr>
            <w:r w:rsidRPr="00B509B2">
              <w:rPr>
                <w:b/>
                <w:sz w:val="20"/>
                <w:szCs w:val="20"/>
              </w:rPr>
              <w:t>Total no. of homes</w:t>
            </w:r>
            <w:r w:rsidR="008E35D9" w:rsidRPr="00B509B2">
              <w:rPr>
                <w:b/>
                <w:sz w:val="20"/>
                <w:szCs w:val="20"/>
              </w:rPr>
              <w:t xml:space="preserve"> </w:t>
            </w:r>
            <w:r w:rsidR="00B509B2">
              <w:rPr>
                <w:b/>
                <w:sz w:val="20"/>
                <w:szCs w:val="20"/>
              </w:rPr>
              <w:t xml:space="preserve">permitted on site </w:t>
            </w:r>
            <w:r w:rsidR="008E35D9" w:rsidRPr="00B509B2">
              <w:rPr>
                <w:b/>
                <w:sz w:val="20"/>
                <w:szCs w:val="20"/>
              </w:rPr>
              <w:t xml:space="preserve">(% of affordable provision). </w:t>
            </w:r>
            <w:r w:rsidRPr="00B509B2">
              <w:rPr>
                <w:b/>
                <w:sz w:val="20"/>
                <w:szCs w:val="20"/>
              </w:rPr>
              <w:t xml:space="preserve"> </w:t>
            </w:r>
          </w:p>
        </w:tc>
        <w:tc>
          <w:tcPr>
            <w:tcW w:w="1559" w:type="dxa"/>
          </w:tcPr>
          <w:p w14:paraId="5360B15D" w14:textId="29020128" w:rsidR="0010616B" w:rsidRPr="00B509B2" w:rsidRDefault="008E35D9" w:rsidP="008E35D9">
            <w:pPr>
              <w:keepNext/>
              <w:spacing w:after="200" w:line="276" w:lineRule="auto"/>
              <w:jc w:val="center"/>
              <w:rPr>
                <w:b/>
                <w:sz w:val="20"/>
                <w:szCs w:val="20"/>
              </w:rPr>
            </w:pPr>
            <w:r w:rsidRPr="00B509B2">
              <w:rPr>
                <w:b/>
                <w:sz w:val="20"/>
                <w:szCs w:val="20"/>
              </w:rPr>
              <w:t xml:space="preserve">No. of homes completed in 2020/21. </w:t>
            </w:r>
          </w:p>
        </w:tc>
        <w:tc>
          <w:tcPr>
            <w:tcW w:w="1417" w:type="dxa"/>
          </w:tcPr>
          <w:p w14:paraId="3F810C22" w14:textId="0EC00173" w:rsidR="0010616B" w:rsidRPr="00B509B2" w:rsidRDefault="00F07DF2" w:rsidP="00F07DF2">
            <w:pPr>
              <w:keepNext/>
              <w:spacing w:after="200" w:line="276" w:lineRule="auto"/>
              <w:jc w:val="center"/>
              <w:rPr>
                <w:b/>
                <w:sz w:val="20"/>
                <w:szCs w:val="20"/>
              </w:rPr>
            </w:pPr>
            <w:r w:rsidRPr="00B509B2">
              <w:rPr>
                <w:b/>
                <w:sz w:val="20"/>
                <w:szCs w:val="20"/>
              </w:rPr>
              <w:t xml:space="preserve">Affordable Tenure Split </w:t>
            </w:r>
          </w:p>
        </w:tc>
      </w:tr>
      <w:tr w:rsidR="0010616B" w14:paraId="3B0A0FF6" w14:textId="77777777" w:rsidTr="008E35D9">
        <w:tc>
          <w:tcPr>
            <w:tcW w:w="1464" w:type="dxa"/>
          </w:tcPr>
          <w:p w14:paraId="11D5F5A1" w14:textId="29B3A279" w:rsidR="0010616B" w:rsidRPr="00B509B2" w:rsidRDefault="0010616B" w:rsidP="0010616B">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Former Rose Hill Community Centre</w:t>
            </w:r>
          </w:p>
        </w:tc>
        <w:tc>
          <w:tcPr>
            <w:tcW w:w="1650" w:type="dxa"/>
          </w:tcPr>
          <w:p w14:paraId="583CE00D" w14:textId="6B6CB427" w:rsidR="0010616B" w:rsidRPr="00B509B2" w:rsidRDefault="0010616B" w:rsidP="0010616B">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18/02817/FUL</w:t>
            </w:r>
          </w:p>
        </w:tc>
        <w:tc>
          <w:tcPr>
            <w:tcW w:w="1843" w:type="dxa"/>
          </w:tcPr>
          <w:p w14:paraId="326C4643" w14:textId="0F9EABB4" w:rsidR="0010616B" w:rsidRPr="00B509B2" w:rsidRDefault="0010616B" w:rsidP="0010616B">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25</w:t>
            </w:r>
            <w:r w:rsidR="008E35D9" w:rsidRPr="00B509B2">
              <w:rPr>
                <w:rFonts w:ascii="Calibri" w:eastAsia="Times New Roman" w:hAnsi="Calibri" w:cs="Calibri"/>
                <w:color w:val="000000"/>
                <w:sz w:val="20"/>
                <w:szCs w:val="20"/>
                <w:lang w:eastAsia="en-GB"/>
              </w:rPr>
              <w:t xml:space="preserve"> (100%)</w:t>
            </w:r>
          </w:p>
        </w:tc>
        <w:tc>
          <w:tcPr>
            <w:tcW w:w="1559" w:type="dxa"/>
            <w:shd w:val="clear" w:color="auto" w:fill="auto"/>
          </w:tcPr>
          <w:p w14:paraId="7ED0559F" w14:textId="26EA4501" w:rsidR="0010616B" w:rsidRPr="00B509B2" w:rsidRDefault="0010616B" w:rsidP="00B509B2">
            <w:pPr>
              <w:keepNext/>
              <w:spacing w:after="200" w:line="276" w:lineRule="auto"/>
              <w:jc w:val="center"/>
              <w:rPr>
                <w:rFonts w:ascii="Calibri" w:hAnsi="Calibri" w:cs="Calibri"/>
                <w:color w:val="000000"/>
                <w:sz w:val="20"/>
                <w:szCs w:val="20"/>
              </w:rPr>
            </w:pPr>
            <w:r w:rsidRPr="00B509B2">
              <w:rPr>
                <w:rFonts w:ascii="Calibri" w:hAnsi="Calibri" w:cs="Calibri"/>
                <w:color w:val="000000"/>
                <w:sz w:val="20"/>
                <w:szCs w:val="20"/>
              </w:rPr>
              <w:t>25</w:t>
            </w:r>
            <w:r w:rsidR="00F07DF2" w:rsidRPr="00B509B2">
              <w:rPr>
                <w:rFonts w:ascii="Calibri" w:hAnsi="Calibri" w:cs="Calibri"/>
                <w:color w:val="000000"/>
                <w:sz w:val="20"/>
                <w:szCs w:val="20"/>
              </w:rPr>
              <w:t xml:space="preserve"> </w:t>
            </w:r>
          </w:p>
        </w:tc>
        <w:tc>
          <w:tcPr>
            <w:tcW w:w="1417" w:type="dxa"/>
          </w:tcPr>
          <w:p w14:paraId="1971BA70" w14:textId="1B3E0809" w:rsidR="0010616B" w:rsidRPr="00B509B2" w:rsidRDefault="008E35D9" w:rsidP="0010616B">
            <w:pPr>
              <w:keepNext/>
              <w:spacing w:after="200" w:line="276" w:lineRule="auto"/>
              <w:jc w:val="center"/>
              <w:rPr>
                <w:sz w:val="20"/>
                <w:szCs w:val="20"/>
              </w:rPr>
            </w:pPr>
            <w:r w:rsidRPr="00B509B2">
              <w:rPr>
                <w:sz w:val="20"/>
                <w:szCs w:val="20"/>
              </w:rPr>
              <w:t>25 shared ownership</w:t>
            </w:r>
          </w:p>
        </w:tc>
      </w:tr>
      <w:tr w:rsidR="008E35D9" w14:paraId="780738D9" w14:textId="77777777" w:rsidTr="008E35D9">
        <w:tc>
          <w:tcPr>
            <w:tcW w:w="1464" w:type="dxa"/>
          </w:tcPr>
          <w:p w14:paraId="370B8D8A" w14:textId="24035FAE" w:rsidR="008E35D9" w:rsidRPr="00B509B2" w:rsidRDefault="008E35D9" w:rsidP="008E35D9">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Former Rose Hill Scout Hut</w:t>
            </w:r>
          </w:p>
        </w:tc>
        <w:tc>
          <w:tcPr>
            <w:tcW w:w="1650" w:type="dxa"/>
          </w:tcPr>
          <w:p w14:paraId="5141AFE3" w14:textId="307A6F27" w:rsidR="008E35D9" w:rsidRPr="00B509B2" w:rsidRDefault="008E35D9" w:rsidP="008E35D9">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18/02818/FUL</w:t>
            </w:r>
          </w:p>
        </w:tc>
        <w:tc>
          <w:tcPr>
            <w:tcW w:w="1843" w:type="dxa"/>
          </w:tcPr>
          <w:p w14:paraId="60057F9D" w14:textId="5AE215EA" w:rsidR="008E35D9" w:rsidRPr="00B509B2" w:rsidRDefault="008E35D9" w:rsidP="008E35D9">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18 (100%)</w:t>
            </w:r>
          </w:p>
        </w:tc>
        <w:tc>
          <w:tcPr>
            <w:tcW w:w="1559" w:type="dxa"/>
            <w:shd w:val="clear" w:color="auto" w:fill="auto"/>
          </w:tcPr>
          <w:p w14:paraId="4DFD964E" w14:textId="5197814E" w:rsidR="008E35D9" w:rsidRPr="00B509B2" w:rsidRDefault="008E35D9" w:rsidP="00B509B2">
            <w:pPr>
              <w:keepNext/>
              <w:spacing w:after="200" w:line="276" w:lineRule="auto"/>
              <w:jc w:val="center"/>
              <w:rPr>
                <w:rFonts w:ascii="Calibri" w:hAnsi="Calibri" w:cs="Calibri"/>
                <w:color w:val="000000"/>
                <w:sz w:val="20"/>
                <w:szCs w:val="20"/>
              </w:rPr>
            </w:pPr>
            <w:r w:rsidRPr="00B509B2">
              <w:rPr>
                <w:rFonts w:ascii="Calibri" w:hAnsi="Calibri" w:cs="Calibri"/>
                <w:color w:val="000000"/>
                <w:sz w:val="20"/>
                <w:szCs w:val="20"/>
              </w:rPr>
              <w:t xml:space="preserve">18 </w:t>
            </w:r>
          </w:p>
        </w:tc>
        <w:tc>
          <w:tcPr>
            <w:tcW w:w="1417" w:type="dxa"/>
          </w:tcPr>
          <w:p w14:paraId="147C1A3C" w14:textId="3A0A1A2A" w:rsidR="008E35D9" w:rsidRPr="00B509B2" w:rsidRDefault="008E35D9" w:rsidP="008E35D9">
            <w:pPr>
              <w:keepNext/>
              <w:spacing w:after="200" w:line="276" w:lineRule="auto"/>
              <w:jc w:val="center"/>
              <w:rPr>
                <w:sz w:val="20"/>
                <w:szCs w:val="20"/>
              </w:rPr>
            </w:pPr>
            <w:r w:rsidRPr="00B509B2">
              <w:rPr>
                <w:sz w:val="20"/>
                <w:szCs w:val="20"/>
              </w:rPr>
              <w:t>18 social rent</w:t>
            </w:r>
          </w:p>
        </w:tc>
      </w:tr>
      <w:tr w:rsidR="008E35D9" w14:paraId="13FE5FD4" w14:textId="77777777" w:rsidTr="008E35D9">
        <w:tc>
          <w:tcPr>
            <w:tcW w:w="1464" w:type="dxa"/>
          </w:tcPr>
          <w:p w14:paraId="2D245C6D" w14:textId="25C2E44D" w:rsidR="008E35D9" w:rsidRPr="00B509B2" w:rsidRDefault="008E35D9" w:rsidP="008E35D9">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As</w:t>
            </w:r>
            <w:r w:rsidR="00986880">
              <w:rPr>
                <w:rFonts w:ascii="Calibri" w:eastAsia="Times New Roman" w:hAnsi="Calibri" w:cs="Calibri"/>
                <w:color w:val="000000"/>
                <w:sz w:val="20"/>
                <w:szCs w:val="20"/>
                <w:lang w:eastAsia="en-GB"/>
              </w:rPr>
              <w:t>h</w:t>
            </w:r>
            <w:r w:rsidRPr="00B509B2">
              <w:rPr>
                <w:rFonts w:ascii="Calibri" w:eastAsia="Times New Roman" w:hAnsi="Calibri" w:cs="Calibri"/>
                <w:color w:val="000000"/>
                <w:sz w:val="20"/>
                <w:szCs w:val="20"/>
                <w:lang w:eastAsia="en-GB"/>
              </w:rPr>
              <w:t>lar House</w:t>
            </w:r>
          </w:p>
        </w:tc>
        <w:tc>
          <w:tcPr>
            <w:tcW w:w="1650" w:type="dxa"/>
          </w:tcPr>
          <w:p w14:paraId="66FA79DE" w14:textId="6FEDB64A" w:rsidR="008E35D9" w:rsidRPr="00B509B2" w:rsidRDefault="008E35D9" w:rsidP="008E35D9">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19//02557/FUL</w:t>
            </w:r>
          </w:p>
        </w:tc>
        <w:tc>
          <w:tcPr>
            <w:tcW w:w="1843" w:type="dxa"/>
          </w:tcPr>
          <w:p w14:paraId="3222234C" w14:textId="309DCAD9" w:rsidR="008E35D9" w:rsidRPr="00B509B2" w:rsidRDefault="008E35D9" w:rsidP="008E35D9">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9 (100%)</w:t>
            </w:r>
          </w:p>
        </w:tc>
        <w:tc>
          <w:tcPr>
            <w:tcW w:w="1559" w:type="dxa"/>
            <w:shd w:val="clear" w:color="auto" w:fill="auto"/>
          </w:tcPr>
          <w:p w14:paraId="62B0F8CB" w14:textId="30B544BE" w:rsidR="008E35D9" w:rsidRPr="00B509B2" w:rsidRDefault="008E35D9" w:rsidP="008E35D9">
            <w:pPr>
              <w:keepNext/>
              <w:spacing w:after="200" w:line="276" w:lineRule="auto"/>
              <w:jc w:val="center"/>
              <w:rPr>
                <w:rFonts w:ascii="Calibri" w:hAnsi="Calibri" w:cs="Calibri"/>
                <w:color w:val="000000"/>
                <w:sz w:val="20"/>
                <w:szCs w:val="20"/>
              </w:rPr>
            </w:pPr>
            <w:r w:rsidRPr="00B509B2">
              <w:rPr>
                <w:rFonts w:ascii="Calibri" w:hAnsi="Calibri" w:cs="Calibri"/>
                <w:color w:val="000000"/>
                <w:sz w:val="20"/>
                <w:szCs w:val="20"/>
              </w:rPr>
              <w:t xml:space="preserve">9 </w:t>
            </w:r>
          </w:p>
        </w:tc>
        <w:tc>
          <w:tcPr>
            <w:tcW w:w="1417" w:type="dxa"/>
          </w:tcPr>
          <w:p w14:paraId="3A4569F3" w14:textId="351B0849" w:rsidR="008E35D9" w:rsidRPr="00B509B2" w:rsidRDefault="008E35D9" w:rsidP="008E35D9">
            <w:pPr>
              <w:keepNext/>
              <w:spacing w:after="200" w:line="276" w:lineRule="auto"/>
              <w:jc w:val="center"/>
              <w:rPr>
                <w:sz w:val="20"/>
                <w:szCs w:val="20"/>
              </w:rPr>
            </w:pPr>
            <w:r w:rsidRPr="00B509B2">
              <w:rPr>
                <w:sz w:val="20"/>
                <w:szCs w:val="20"/>
              </w:rPr>
              <w:t>9 social rent</w:t>
            </w:r>
          </w:p>
        </w:tc>
      </w:tr>
      <w:tr w:rsidR="008E35D9" w14:paraId="12200541" w14:textId="77777777" w:rsidTr="008E35D9">
        <w:tc>
          <w:tcPr>
            <w:tcW w:w="1464" w:type="dxa"/>
          </w:tcPr>
          <w:p w14:paraId="206586C4" w14:textId="5D38AE44" w:rsidR="008E35D9" w:rsidRPr="00B509B2" w:rsidRDefault="008E35D9" w:rsidP="008E35D9">
            <w:pPr>
              <w:keepNext/>
              <w:spacing w:after="200" w:line="276" w:lineRule="auto"/>
              <w:jc w:val="center"/>
              <w:rPr>
                <w:rFonts w:ascii="Calibri" w:eastAsia="Times New Roman" w:hAnsi="Calibri" w:cs="Calibri"/>
                <w:color w:val="000000"/>
                <w:sz w:val="20"/>
                <w:szCs w:val="20"/>
                <w:lang w:eastAsia="en-GB"/>
              </w:rPr>
            </w:pPr>
            <w:proofErr w:type="spellStart"/>
            <w:r w:rsidRPr="00B509B2">
              <w:rPr>
                <w:rFonts w:ascii="Calibri" w:eastAsia="Times New Roman" w:hAnsi="Calibri" w:cs="Calibri"/>
                <w:color w:val="000000"/>
                <w:sz w:val="20"/>
                <w:szCs w:val="20"/>
                <w:lang w:eastAsia="en-GB"/>
              </w:rPr>
              <w:t>Wolvercote</w:t>
            </w:r>
            <w:proofErr w:type="spellEnd"/>
            <w:r w:rsidRPr="00B509B2">
              <w:rPr>
                <w:rFonts w:ascii="Calibri" w:eastAsia="Times New Roman" w:hAnsi="Calibri" w:cs="Calibri"/>
                <w:color w:val="000000"/>
                <w:sz w:val="20"/>
                <w:szCs w:val="20"/>
                <w:lang w:eastAsia="en-GB"/>
              </w:rPr>
              <w:t xml:space="preserve"> Paper Mill</w:t>
            </w:r>
          </w:p>
        </w:tc>
        <w:tc>
          <w:tcPr>
            <w:tcW w:w="1650" w:type="dxa"/>
          </w:tcPr>
          <w:p w14:paraId="71EFC612" w14:textId="628251D9" w:rsidR="008E35D9" w:rsidRPr="00B509B2" w:rsidRDefault="008E35D9" w:rsidP="008E35D9">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18/00966/RES</w:t>
            </w:r>
          </w:p>
        </w:tc>
        <w:tc>
          <w:tcPr>
            <w:tcW w:w="1843" w:type="dxa"/>
          </w:tcPr>
          <w:p w14:paraId="168E9B93" w14:textId="180EBD70" w:rsidR="008E35D9" w:rsidRPr="00B509B2" w:rsidRDefault="008E35D9" w:rsidP="008E35D9">
            <w:pPr>
              <w:keepNext/>
              <w:spacing w:after="200" w:line="276" w:lineRule="auto"/>
              <w:jc w:val="center"/>
              <w:rPr>
                <w:rFonts w:ascii="Calibri" w:eastAsia="Times New Roman" w:hAnsi="Calibri" w:cs="Calibri"/>
                <w:color w:val="000000"/>
                <w:sz w:val="20"/>
                <w:szCs w:val="20"/>
                <w:lang w:eastAsia="en-GB"/>
              </w:rPr>
            </w:pPr>
            <w:r w:rsidRPr="00B509B2">
              <w:rPr>
                <w:rFonts w:ascii="Calibri" w:eastAsia="Times New Roman" w:hAnsi="Calibri" w:cs="Calibri"/>
                <w:color w:val="000000"/>
                <w:sz w:val="20"/>
                <w:szCs w:val="20"/>
                <w:lang w:eastAsia="en-GB"/>
              </w:rPr>
              <w:t>190 (50%)</w:t>
            </w:r>
          </w:p>
        </w:tc>
        <w:tc>
          <w:tcPr>
            <w:tcW w:w="1559" w:type="dxa"/>
            <w:shd w:val="clear" w:color="auto" w:fill="auto"/>
          </w:tcPr>
          <w:p w14:paraId="77F313C4" w14:textId="4A5FC114" w:rsidR="008E35D9" w:rsidRPr="00B509B2" w:rsidRDefault="008E35D9" w:rsidP="008E35D9">
            <w:pPr>
              <w:keepNext/>
              <w:spacing w:after="200" w:line="276" w:lineRule="auto"/>
              <w:jc w:val="center"/>
              <w:rPr>
                <w:rFonts w:ascii="Calibri" w:hAnsi="Calibri" w:cs="Calibri"/>
                <w:color w:val="000000"/>
                <w:sz w:val="20"/>
                <w:szCs w:val="20"/>
              </w:rPr>
            </w:pPr>
            <w:r w:rsidRPr="00B509B2">
              <w:rPr>
                <w:rFonts w:ascii="Calibri" w:hAnsi="Calibri" w:cs="Calibri"/>
                <w:color w:val="000000"/>
                <w:sz w:val="20"/>
                <w:szCs w:val="20"/>
              </w:rPr>
              <w:t>59</w:t>
            </w:r>
          </w:p>
        </w:tc>
        <w:tc>
          <w:tcPr>
            <w:tcW w:w="1417" w:type="dxa"/>
          </w:tcPr>
          <w:p w14:paraId="434A3D57" w14:textId="1AC660D8" w:rsidR="008E35D9" w:rsidRPr="00B509B2" w:rsidRDefault="008E35D9" w:rsidP="008E35D9">
            <w:pPr>
              <w:keepNext/>
              <w:spacing w:after="200" w:line="276" w:lineRule="auto"/>
              <w:jc w:val="center"/>
              <w:rPr>
                <w:sz w:val="20"/>
                <w:szCs w:val="20"/>
              </w:rPr>
            </w:pPr>
            <w:r w:rsidRPr="00B509B2">
              <w:rPr>
                <w:sz w:val="20"/>
                <w:szCs w:val="20"/>
              </w:rPr>
              <w:t>50 social rent, 9 shared ownership</w:t>
            </w:r>
          </w:p>
        </w:tc>
      </w:tr>
      <w:tr w:rsidR="008E35D9" w14:paraId="10B02723" w14:textId="77777777" w:rsidTr="008E35D9">
        <w:tc>
          <w:tcPr>
            <w:tcW w:w="1464" w:type="dxa"/>
          </w:tcPr>
          <w:p w14:paraId="32C187CF" w14:textId="15FAE38D" w:rsidR="008E35D9" w:rsidRPr="00B509B2" w:rsidRDefault="008E35D9" w:rsidP="008E35D9">
            <w:pPr>
              <w:keepNext/>
              <w:spacing w:after="200" w:line="276" w:lineRule="auto"/>
              <w:jc w:val="center"/>
              <w:rPr>
                <w:sz w:val="20"/>
                <w:szCs w:val="20"/>
              </w:rPr>
            </w:pPr>
            <w:r w:rsidRPr="00B509B2">
              <w:rPr>
                <w:rFonts w:ascii="Calibri" w:eastAsia="Times New Roman" w:hAnsi="Calibri" w:cs="Calibri"/>
                <w:color w:val="000000"/>
                <w:sz w:val="20"/>
                <w:szCs w:val="20"/>
                <w:lang w:eastAsia="en-GB"/>
              </w:rPr>
              <w:t>Land North Of Littlemore Healthcare Trust</w:t>
            </w:r>
            <w:r w:rsidRPr="00B509B2">
              <w:rPr>
                <w:rFonts w:ascii="Calibri" w:eastAsia="Times New Roman" w:hAnsi="Calibri" w:cs="Calibri"/>
                <w:color w:val="000000"/>
                <w:sz w:val="20"/>
                <w:szCs w:val="20"/>
                <w:lang w:eastAsia="en-GB"/>
              </w:rPr>
              <w:br/>
            </w:r>
          </w:p>
        </w:tc>
        <w:tc>
          <w:tcPr>
            <w:tcW w:w="1650" w:type="dxa"/>
          </w:tcPr>
          <w:p w14:paraId="4583D056" w14:textId="77777777" w:rsidR="008E35D9" w:rsidRPr="00B509B2" w:rsidRDefault="008E35D9" w:rsidP="008E35D9">
            <w:pPr>
              <w:keepNext/>
              <w:spacing w:after="200" w:line="276" w:lineRule="auto"/>
              <w:jc w:val="center"/>
              <w:rPr>
                <w:sz w:val="20"/>
                <w:szCs w:val="20"/>
              </w:rPr>
            </w:pPr>
            <w:r w:rsidRPr="00B509B2">
              <w:rPr>
                <w:rFonts w:ascii="Calibri" w:eastAsia="Times New Roman" w:hAnsi="Calibri" w:cs="Calibri"/>
                <w:color w:val="000000"/>
                <w:sz w:val="20"/>
                <w:szCs w:val="20"/>
                <w:lang w:eastAsia="en-GB"/>
              </w:rPr>
              <w:t>17/03050/FUL</w:t>
            </w:r>
          </w:p>
        </w:tc>
        <w:tc>
          <w:tcPr>
            <w:tcW w:w="1843" w:type="dxa"/>
          </w:tcPr>
          <w:p w14:paraId="6CDC5FA9" w14:textId="2F1A13B2" w:rsidR="008E35D9" w:rsidRPr="00B509B2" w:rsidRDefault="008E35D9" w:rsidP="008E35D9">
            <w:pPr>
              <w:keepNext/>
              <w:spacing w:after="200" w:line="276" w:lineRule="auto"/>
              <w:jc w:val="center"/>
              <w:rPr>
                <w:sz w:val="20"/>
                <w:szCs w:val="20"/>
              </w:rPr>
            </w:pPr>
            <w:r w:rsidRPr="00B509B2">
              <w:rPr>
                <w:rFonts w:ascii="Calibri" w:eastAsia="Times New Roman" w:hAnsi="Calibri" w:cs="Calibri"/>
                <w:color w:val="000000"/>
                <w:sz w:val="20"/>
                <w:szCs w:val="20"/>
                <w:lang w:eastAsia="en-GB"/>
              </w:rPr>
              <w:t>140 (50%)</w:t>
            </w:r>
          </w:p>
        </w:tc>
        <w:tc>
          <w:tcPr>
            <w:tcW w:w="1559" w:type="dxa"/>
            <w:shd w:val="clear" w:color="auto" w:fill="auto"/>
          </w:tcPr>
          <w:p w14:paraId="5D4ED03A" w14:textId="7154CDEF" w:rsidR="008E35D9" w:rsidRPr="00B509B2" w:rsidRDefault="008E35D9" w:rsidP="008E35D9">
            <w:pPr>
              <w:keepNext/>
              <w:spacing w:after="200" w:line="276" w:lineRule="auto"/>
              <w:jc w:val="center"/>
              <w:rPr>
                <w:sz w:val="20"/>
                <w:szCs w:val="20"/>
              </w:rPr>
            </w:pPr>
            <w:r w:rsidRPr="00B509B2">
              <w:rPr>
                <w:rFonts w:ascii="Calibri" w:hAnsi="Calibri" w:cs="Calibri"/>
                <w:color w:val="000000"/>
                <w:sz w:val="20"/>
                <w:szCs w:val="20"/>
              </w:rPr>
              <w:t>19</w:t>
            </w:r>
          </w:p>
        </w:tc>
        <w:tc>
          <w:tcPr>
            <w:tcW w:w="1417" w:type="dxa"/>
          </w:tcPr>
          <w:p w14:paraId="48F5970A" w14:textId="42FA74AB" w:rsidR="008E35D9" w:rsidRPr="00B509B2" w:rsidRDefault="008E35D9" w:rsidP="008E35D9">
            <w:pPr>
              <w:keepNext/>
              <w:spacing w:after="200" w:line="276" w:lineRule="auto"/>
              <w:jc w:val="center"/>
              <w:rPr>
                <w:sz w:val="20"/>
                <w:szCs w:val="20"/>
              </w:rPr>
            </w:pPr>
            <w:r w:rsidRPr="00B509B2">
              <w:rPr>
                <w:sz w:val="20"/>
                <w:szCs w:val="20"/>
              </w:rPr>
              <w:t>19 social rent</w:t>
            </w:r>
          </w:p>
        </w:tc>
      </w:tr>
      <w:tr w:rsidR="008E35D9" w14:paraId="7375FFE8" w14:textId="77777777" w:rsidTr="008E35D9">
        <w:tc>
          <w:tcPr>
            <w:tcW w:w="1464" w:type="dxa"/>
          </w:tcPr>
          <w:p w14:paraId="50DA2EA6" w14:textId="09F8A0D4" w:rsidR="008E35D9" w:rsidRPr="00B509B2" w:rsidRDefault="008E35D9" w:rsidP="008E35D9">
            <w:pPr>
              <w:keepNext/>
              <w:spacing w:after="200" w:line="276" w:lineRule="auto"/>
              <w:jc w:val="center"/>
              <w:rPr>
                <w:sz w:val="20"/>
                <w:szCs w:val="20"/>
              </w:rPr>
            </w:pPr>
            <w:r w:rsidRPr="00B509B2">
              <w:rPr>
                <w:rFonts w:ascii="Calibri" w:eastAsia="Times New Roman" w:hAnsi="Calibri" w:cs="Calibri"/>
                <w:color w:val="000000"/>
                <w:sz w:val="20"/>
                <w:szCs w:val="20"/>
                <w:lang w:eastAsia="en-GB"/>
              </w:rPr>
              <w:t>Barton Park Phase 1</w:t>
            </w:r>
          </w:p>
        </w:tc>
        <w:tc>
          <w:tcPr>
            <w:tcW w:w="1650" w:type="dxa"/>
          </w:tcPr>
          <w:p w14:paraId="5D3C7457" w14:textId="223EAB9A" w:rsidR="008E35D9" w:rsidRPr="00B509B2" w:rsidRDefault="008E35D9" w:rsidP="008E35D9">
            <w:pPr>
              <w:keepNext/>
              <w:spacing w:after="200" w:line="276" w:lineRule="auto"/>
              <w:jc w:val="center"/>
              <w:rPr>
                <w:sz w:val="20"/>
                <w:szCs w:val="20"/>
              </w:rPr>
            </w:pPr>
            <w:r w:rsidRPr="00B509B2">
              <w:rPr>
                <w:rFonts w:ascii="Calibri" w:eastAsia="Times New Roman" w:hAnsi="Calibri" w:cs="Calibri"/>
                <w:color w:val="000000"/>
                <w:sz w:val="20"/>
                <w:szCs w:val="20"/>
                <w:lang w:eastAsia="en-GB"/>
              </w:rPr>
              <w:t>15/03642/RES</w:t>
            </w:r>
          </w:p>
        </w:tc>
        <w:tc>
          <w:tcPr>
            <w:tcW w:w="1843" w:type="dxa"/>
          </w:tcPr>
          <w:p w14:paraId="734805DE" w14:textId="603986A5" w:rsidR="008E35D9" w:rsidRPr="00B509B2" w:rsidRDefault="008E35D9" w:rsidP="008E35D9">
            <w:pPr>
              <w:keepNext/>
              <w:spacing w:after="200" w:line="276" w:lineRule="auto"/>
              <w:jc w:val="center"/>
              <w:rPr>
                <w:sz w:val="20"/>
                <w:szCs w:val="20"/>
              </w:rPr>
            </w:pPr>
            <w:r w:rsidRPr="00B509B2">
              <w:rPr>
                <w:rFonts w:ascii="Calibri" w:eastAsia="Times New Roman" w:hAnsi="Calibri" w:cs="Calibri"/>
                <w:color w:val="000000"/>
                <w:sz w:val="20"/>
                <w:szCs w:val="20"/>
                <w:lang w:eastAsia="en-GB"/>
              </w:rPr>
              <w:t>237 (40%)</w:t>
            </w:r>
          </w:p>
        </w:tc>
        <w:tc>
          <w:tcPr>
            <w:tcW w:w="1559" w:type="dxa"/>
            <w:shd w:val="clear" w:color="auto" w:fill="auto"/>
          </w:tcPr>
          <w:p w14:paraId="2D1614CE" w14:textId="545157AB" w:rsidR="008E35D9" w:rsidRPr="00B509B2" w:rsidRDefault="008E35D9" w:rsidP="008E35D9">
            <w:pPr>
              <w:keepNext/>
              <w:spacing w:after="200" w:line="276" w:lineRule="auto"/>
              <w:jc w:val="center"/>
              <w:rPr>
                <w:sz w:val="20"/>
                <w:szCs w:val="20"/>
              </w:rPr>
            </w:pPr>
            <w:r w:rsidRPr="00B509B2">
              <w:rPr>
                <w:sz w:val="20"/>
                <w:szCs w:val="20"/>
              </w:rPr>
              <w:t>14</w:t>
            </w:r>
          </w:p>
        </w:tc>
        <w:tc>
          <w:tcPr>
            <w:tcW w:w="1417" w:type="dxa"/>
          </w:tcPr>
          <w:p w14:paraId="496689C4" w14:textId="6427FC17" w:rsidR="008E35D9" w:rsidRPr="00B509B2" w:rsidRDefault="008E35D9" w:rsidP="008E35D9">
            <w:pPr>
              <w:keepNext/>
              <w:spacing w:after="200" w:line="276" w:lineRule="auto"/>
              <w:jc w:val="center"/>
              <w:rPr>
                <w:sz w:val="20"/>
                <w:szCs w:val="20"/>
              </w:rPr>
            </w:pPr>
            <w:r w:rsidRPr="00B509B2">
              <w:rPr>
                <w:sz w:val="20"/>
                <w:szCs w:val="20"/>
              </w:rPr>
              <w:t xml:space="preserve">14 social rent </w:t>
            </w:r>
          </w:p>
          <w:p w14:paraId="121CBC71" w14:textId="57C41857" w:rsidR="008E35D9" w:rsidRPr="00B509B2" w:rsidRDefault="008E35D9" w:rsidP="008E35D9">
            <w:pPr>
              <w:keepNext/>
              <w:spacing w:after="200" w:line="276" w:lineRule="auto"/>
              <w:jc w:val="center"/>
              <w:rPr>
                <w:sz w:val="20"/>
                <w:szCs w:val="20"/>
              </w:rPr>
            </w:pPr>
          </w:p>
        </w:tc>
      </w:tr>
    </w:tbl>
    <w:p w14:paraId="08A277F7" w14:textId="40BD19B1" w:rsidR="0010616B" w:rsidRPr="00986880" w:rsidRDefault="0010616B" w:rsidP="008E35D9">
      <w:pPr>
        <w:pStyle w:val="ListParagraph"/>
        <w:tabs>
          <w:tab w:val="left" w:pos="567"/>
        </w:tabs>
        <w:ind w:left="567"/>
        <w:jc w:val="center"/>
        <w:rPr>
          <w:sz w:val="20"/>
          <w:szCs w:val="20"/>
        </w:rPr>
      </w:pPr>
      <w:r w:rsidRPr="00986880">
        <w:rPr>
          <w:b/>
          <w:sz w:val="20"/>
          <w:szCs w:val="20"/>
        </w:rPr>
        <w:t>Table 8:</w:t>
      </w:r>
      <w:r w:rsidRPr="00986880">
        <w:rPr>
          <w:sz w:val="20"/>
          <w:szCs w:val="20"/>
        </w:rPr>
        <w:t xml:space="preserve"> Affordable dwellings comp</w:t>
      </w:r>
      <w:r w:rsidR="00986880" w:rsidRPr="00986880">
        <w:rPr>
          <w:sz w:val="20"/>
          <w:szCs w:val="20"/>
        </w:rPr>
        <w:t>l</w:t>
      </w:r>
      <w:r w:rsidRPr="00986880">
        <w:rPr>
          <w:sz w:val="20"/>
          <w:szCs w:val="20"/>
        </w:rPr>
        <w:t xml:space="preserve">eted </w:t>
      </w:r>
      <w:r w:rsidR="00986880" w:rsidRPr="00986880">
        <w:rPr>
          <w:sz w:val="20"/>
          <w:szCs w:val="20"/>
        </w:rPr>
        <w:t>2020/21</w:t>
      </w:r>
      <w:r w:rsidR="00986880">
        <w:rPr>
          <w:sz w:val="20"/>
          <w:szCs w:val="20"/>
        </w:rPr>
        <w:t xml:space="preserve"> including tenure split</w:t>
      </w:r>
    </w:p>
    <w:p w14:paraId="5BE0EB89" w14:textId="77777777" w:rsidR="0010616B" w:rsidRDefault="0010616B" w:rsidP="0010616B">
      <w:pPr>
        <w:pStyle w:val="ListParagraph"/>
        <w:tabs>
          <w:tab w:val="left" w:pos="567"/>
        </w:tabs>
        <w:ind w:left="567"/>
        <w:jc w:val="both"/>
      </w:pPr>
    </w:p>
    <w:p w14:paraId="69F7DCF6" w14:textId="1997CDC4" w:rsidR="00020891" w:rsidRDefault="35B8BBBA" w:rsidP="00B509B2">
      <w:pPr>
        <w:pStyle w:val="ListParagraph"/>
        <w:numPr>
          <w:ilvl w:val="1"/>
          <w:numId w:val="11"/>
        </w:numPr>
        <w:tabs>
          <w:tab w:val="left" w:pos="567"/>
        </w:tabs>
        <w:ind w:left="567" w:hanging="567"/>
        <w:jc w:val="both"/>
      </w:pPr>
      <w:r>
        <w:t xml:space="preserve">Since the start of the Local Plan period there have been a total of 391 affordable homes built (Figure </w:t>
      </w:r>
      <w:r w:rsidR="00B509B2">
        <w:t>9</w:t>
      </w:r>
      <w:r>
        <w:t>).</w:t>
      </w:r>
      <w:r w:rsidR="00020891">
        <w:t xml:space="preserve">  </w:t>
      </w:r>
      <w:r w:rsidR="00020891" w:rsidRPr="00020891">
        <w:t xml:space="preserve"> </w:t>
      </w:r>
    </w:p>
    <w:p w14:paraId="0A429F85" w14:textId="77777777" w:rsidR="00E30B31" w:rsidRDefault="00E30B31" w:rsidP="00E30B31">
      <w:pPr>
        <w:pStyle w:val="ListParagraph"/>
      </w:pPr>
    </w:p>
    <w:p w14:paraId="2547ACC7" w14:textId="0528C198" w:rsidR="00FB6398" w:rsidRPr="00432792" w:rsidRDefault="00FB6398" w:rsidP="0039024B">
      <w:pPr>
        <w:pStyle w:val="Default"/>
        <w:spacing w:after="178"/>
        <w:jc w:val="center"/>
        <w:rPr>
          <w:rFonts w:asciiTheme="minorHAnsi" w:hAnsiTheme="minorHAnsi" w:cstheme="minorHAnsi"/>
          <w:sz w:val="20"/>
          <w:szCs w:val="20"/>
        </w:rPr>
      </w:pPr>
      <w:r>
        <w:rPr>
          <w:noProof/>
          <w:lang w:eastAsia="en-GB"/>
        </w:rPr>
        <w:lastRenderedPageBreak/>
        <w:drawing>
          <wp:inline distT="0" distB="0" distL="0" distR="0" wp14:anchorId="5F406C15" wp14:editId="66684D1A">
            <wp:extent cx="4860000" cy="2743200"/>
            <wp:effectExtent l="0" t="0" r="171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BC09F0" w14:textId="22444942" w:rsidR="00FB6398" w:rsidRPr="00E46DC8" w:rsidRDefault="00FB6398" w:rsidP="7A04C4E7">
      <w:pPr>
        <w:pStyle w:val="Default"/>
        <w:spacing w:after="178"/>
        <w:jc w:val="center"/>
        <w:rPr>
          <w:rFonts w:asciiTheme="minorHAnsi" w:hAnsiTheme="minorHAnsi" w:cstheme="minorBidi"/>
          <w:sz w:val="20"/>
          <w:szCs w:val="20"/>
        </w:rPr>
      </w:pPr>
      <w:r w:rsidRPr="00E46DC8">
        <w:rPr>
          <w:rFonts w:asciiTheme="minorHAnsi" w:hAnsiTheme="minorHAnsi" w:cstheme="minorBidi"/>
          <w:b/>
          <w:bCs/>
          <w:sz w:val="20"/>
          <w:szCs w:val="20"/>
        </w:rPr>
        <w:t xml:space="preserve">Figure </w:t>
      </w:r>
      <w:r w:rsidR="00B509B2">
        <w:rPr>
          <w:rFonts w:asciiTheme="minorHAnsi" w:hAnsiTheme="minorHAnsi" w:cstheme="minorBidi"/>
          <w:b/>
          <w:bCs/>
          <w:sz w:val="20"/>
          <w:szCs w:val="20"/>
        </w:rPr>
        <w:t>9</w:t>
      </w:r>
      <w:r w:rsidRPr="00E46DC8">
        <w:rPr>
          <w:rFonts w:asciiTheme="minorHAnsi" w:hAnsiTheme="minorHAnsi" w:cstheme="minorBidi"/>
          <w:b/>
          <w:bCs/>
          <w:sz w:val="20"/>
          <w:szCs w:val="20"/>
        </w:rPr>
        <w:t xml:space="preserve">: </w:t>
      </w:r>
      <w:r w:rsidRPr="00E46DC8">
        <w:rPr>
          <w:rFonts w:asciiTheme="minorHAnsi" w:hAnsiTheme="minorHAnsi" w:cstheme="minorBidi"/>
          <w:sz w:val="20"/>
          <w:szCs w:val="20"/>
        </w:rPr>
        <w:t>Net affordable dwellings completed 2016/17 - 2020/21</w:t>
      </w:r>
    </w:p>
    <w:p w14:paraId="4DD60624" w14:textId="407C686D" w:rsidR="00FB6398" w:rsidRDefault="35B8BBBA" w:rsidP="009950B8">
      <w:pPr>
        <w:keepNext/>
        <w:numPr>
          <w:ilvl w:val="1"/>
          <w:numId w:val="11"/>
        </w:numPr>
        <w:spacing w:after="200" w:line="276" w:lineRule="auto"/>
        <w:jc w:val="both"/>
      </w:pPr>
      <w:r>
        <w:t xml:space="preserve">The Council is committed to delivering more affordable housing in Oxford and has been identifying land in its ownership capable of delivering affordable homes and bringing this forward wherever possible.  Of the 144 affordable dwellings completed in 2020/21, 57 were delivered on City Council Land as set out in Table </w:t>
      </w:r>
      <w:r w:rsidR="00B509B2">
        <w:t>9</w:t>
      </w:r>
      <w:r>
        <w:t xml:space="preserve">. </w:t>
      </w:r>
    </w:p>
    <w:tbl>
      <w:tblPr>
        <w:tblStyle w:val="TableGrid"/>
        <w:tblW w:w="6723" w:type="dxa"/>
        <w:jc w:val="center"/>
        <w:tblLook w:val="04A0" w:firstRow="1" w:lastRow="0" w:firstColumn="1" w:lastColumn="0" w:noHBand="0" w:noVBand="1"/>
      </w:tblPr>
      <w:tblGrid>
        <w:gridCol w:w="1276"/>
        <w:gridCol w:w="1619"/>
        <w:gridCol w:w="1276"/>
        <w:gridCol w:w="1276"/>
        <w:gridCol w:w="1276"/>
      </w:tblGrid>
      <w:tr w:rsidR="00FB6398" w:rsidRPr="00432792" w14:paraId="5014BE2F" w14:textId="77777777" w:rsidTr="0039024B">
        <w:trPr>
          <w:jc w:val="center"/>
        </w:trPr>
        <w:tc>
          <w:tcPr>
            <w:tcW w:w="1276" w:type="dxa"/>
          </w:tcPr>
          <w:p w14:paraId="26B677A2" w14:textId="77777777" w:rsidR="00FB6398" w:rsidRPr="00432792" w:rsidRDefault="00FB6398" w:rsidP="00E30B31">
            <w:pPr>
              <w:pStyle w:val="Default"/>
              <w:spacing w:after="178"/>
              <w:jc w:val="center"/>
              <w:rPr>
                <w:rFonts w:asciiTheme="minorHAnsi" w:hAnsiTheme="minorHAnsi" w:cstheme="minorHAnsi"/>
                <w:b/>
                <w:sz w:val="20"/>
                <w:szCs w:val="20"/>
              </w:rPr>
            </w:pPr>
            <w:r w:rsidRPr="00432792">
              <w:rPr>
                <w:rFonts w:asciiTheme="minorHAnsi" w:hAnsiTheme="minorHAnsi" w:cstheme="minorHAnsi"/>
                <w:b/>
                <w:sz w:val="20"/>
                <w:szCs w:val="20"/>
              </w:rPr>
              <w:t>City Council owned site</w:t>
            </w:r>
          </w:p>
        </w:tc>
        <w:tc>
          <w:tcPr>
            <w:tcW w:w="1619" w:type="dxa"/>
          </w:tcPr>
          <w:p w14:paraId="4118528D" w14:textId="77777777" w:rsidR="00FB6398" w:rsidRPr="00432792" w:rsidRDefault="00FB6398" w:rsidP="00E30B31">
            <w:pPr>
              <w:pStyle w:val="Default"/>
              <w:spacing w:after="178"/>
              <w:jc w:val="center"/>
              <w:rPr>
                <w:rFonts w:asciiTheme="minorHAnsi" w:hAnsiTheme="minorHAnsi" w:cstheme="minorHAnsi"/>
                <w:b/>
                <w:sz w:val="20"/>
                <w:szCs w:val="20"/>
              </w:rPr>
            </w:pPr>
            <w:r w:rsidRPr="00432792">
              <w:rPr>
                <w:rFonts w:asciiTheme="minorHAnsi" w:hAnsiTheme="minorHAnsi" w:cstheme="minorHAnsi"/>
                <w:b/>
                <w:sz w:val="20"/>
                <w:szCs w:val="20"/>
              </w:rPr>
              <w:t>Planning application reference</w:t>
            </w:r>
          </w:p>
        </w:tc>
        <w:tc>
          <w:tcPr>
            <w:tcW w:w="1276" w:type="dxa"/>
          </w:tcPr>
          <w:p w14:paraId="5D23B6C0" w14:textId="77777777" w:rsidR="00FB6398" w:rsidRPr="00432792" w:rsidRDefault="00FB6398" w:rsidP="00E30B31">
            <w:pPr>
              <w:pStyle w:val="Default"/>
              <w:spacing w:after="178"/>
              <w:jc w:val="center"/>
              <w:rPr>
                <w:rFonts w:asciiTheme="minorHAnsi" w:hAnsiTheme="minorHAnsi" w:cstheme="minorHAnsi"/>
                <w:b/>
                <w:sz w:val="20"/>
                <w:szCs w:val="20"/>
              </w:rPr>
            </w:pPr>
            <w:r w:rsidRPr="00432792">
              <w:rPr>
                <w:rFonts w:asciiTheme="minorHAnsi" w:hAnsiTheme="minorHAnsi" w:cstheme="minorHAnsi"/>
                <w:b/>
                <w:sz w:val="20"/>
                <w:szCs w:val="20"/>
              </w:rPr>
              <w:t>No. homes for social rent completed</w:t>
            </w:r>
          </w:p>
        </w:tc>
        <w:tc>
          <w:tcPr>
            <w:tcW w:w="1276" w:type="dxa"/>
          </w:tcPr>
          <w:p w14:paraId="3E26C130" w14:textId="77777777" w:rsidR="00FB6398" w:rsidRPr="00432792" w:rsidRDefault="00FB6398" w:rsidP="00E30B31">
            <w:pPr>
              <w:pStyle w:val="Default"/>
              <w:spacing w:after="178"/>
              <w:jc w:val="center"/>
              <w:rPr>
                <w:rFonts w:asciiTheme="minorHAnsi" w:hAnsiTheme="minorHAnsi" w:cstheme="minorHAnsi"/>
                <w:b/>
                <w:sz w:val="20"/>
                <w:szCs w:val="20"/>
              </w:rPr>
            </w:pPr>
            <w:r w:rsidRPr="00432792">
              <w:rPr>
                <w:rFonts w:asciiTheme="minorHAnsi" w:hAnsiTheme="minorHAnsi" w:cstheme="minorHAnsi"/>
                <w:b/>
                <w:sz w:val="20"/>
                <w:szCs w:val="20"/>
              </w:rPr>
              <w:t>No. homes for shared ownership completed</w:t>
            </w:r>
          </w:p>
        </w:tc>
        <w:tc>
          <w:tcPr>
            <w:tcW w:w="1276" w:type="dxa"/>
          </w:tcPr>
          <w:p w14:paraId="6FCE1551" w14:textId="77777777" w:rsidR="00FB6398" w:rsidRPr="00432792" w:rsidRDefault="00FB6398" w:rsidP="00E30B31">
            <w:pPr>
              <w:pStyle w:val="Default"/>
              <w:spacing w:after="178"/>
              <w:jc w:val="center"/>
              <w:rPr>
                <w:rFonts w:asciiTheme="minorHAnsi" w:hAnsiTheme="minorHAnsi" w:cstheme="minorHAnsi"/>
                <w:b/>
                <w:sz w:val="20"/>
                <w:szCs w:val="20"/>
              </w:rPr>
            </w:pPr>
            <w:r w:rsidRPr="00432792">
              <w:rPr>
                <w:rFonts w:asciiTheme="minorHAnsi" w:hAnsiTheme="minorHAnsi" w:cstheme="minorHAnsi"/>
                <w:b/>
                <w:sz w:val="20"/>
                <w:szCs w:val="20"/>
              </w:rPr>
              <w:t>Total No. of affordable homes completed</w:t>
            </w:r>
          </w:p>
        </w:tc>
      </w:tr>
      <w:tr w:rsidR="00FB6398" w:rsidRPr="00432792" w14:paraId="40AFC197" w14:textId="77777777" w:rsidTr="0039024B">
        <w:trPr>
          <w:jc w:val="center"/>
        </w:trPr>
        <w:tc>
          <w:tcPr>
            <w:tcW w:w="1276" w:type="dxa"/>
          </w:tcPr>
          <w:p w14:paraId="46D0F15B"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Former Rose Hill Community Centre</w:t>
            </w:r>
          </w:p>
        </w:tc>
        <w:tc>
          <w:tcPr>
            <w:tcW w:w="1619" w:type="dxa"/>
          </w:tcPr>
          <w:p w14:paraId="58C8198E"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18/02817/FUL</w:t>
            </w:r>
          </w:p>
        </w:tc>
        <w:tc>
          <w:tcPr>
            <w:tcW w:w="1276" w:type="dxa"/>
          </w:tcPr>
          <w:p w14:paraId="0F895333" w14:textId="77777777" w:rsidR="00FB6398" w:rsidRPr="00432792" w:rsidRDefault="00FB6398" w:rsidP="00E30B31">
            <w:pPr>
              <w:pStyle w:val="Default"/>
              <w:spacing w:after="178"/>
              <w:jc w:val="center"/>
              <w:rPr>
                <w:rFonts w:asciiTheme="minorHAnsi" w:hAnsiTheme="minorHAnsi" w:cstheme="minorHAnsi"/>
                <w:sz w:val="20"/>
                <w:szCs w:val="20"/>
              </w:rPr>
            </w:pPr>
          </w:p>
        </w:tc>
        <w:tc>
          <w:tcPr>
            <w:tcW w:w="1276" w:type="dxa"/>
          </w:tcPr>
          <w:p w14:paraId="2249939C"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25</w:t>
            </w:r>
          </w:p>
        </w:tc>
        <w:tc>
          <w:tcPr>
            <w:tcW w:w="1276" w:type="dxa"/>
          </w:tcPr>
          <w:p w14:paraId="7BB09778"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25</w:t>
            </w:r>
          </w:p>
        </w:tc>
      </w:tr>
      <w:tr w:rsidR="00FB6398" w:rsidRPr="00432792" w14:paraId="73905674" w14:textId="77777777" w:rsidTr="0039024B">
        <w:trPr>
          <w:jc w:val="center"/>
        </w:trPr>
        <w:tc>
          <w:tcPr>
            <w:tcW w:w="1276" w:type="dxa"/>
          </w:tcPr>
          <w:p w14:paraId="31A2A662"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Former Rose Hill Scout Hut</w:t>
            </w:r>
          </w:p>
        </w:tc>
        <w:tc>
          <w:tcPr>
            <w:tcW w:w="1619" w:type="dxa"/>
          </w:tcPr>
          <w:p w14:paraId="47D5BFFD"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18/02818/FUL</w:t>
            </w:r>
          </w:p>
        </w:tc>
        <w:tc>
          <w:tcPr>
            <w:tcW w:w="1276" w:type="dxa"/>
          </w:tcPr>
          <w:p w14:paraId="6E332433"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w:t>
            </w:r>
          </w:p>
        </w:tc>
        <w:tc>
          <w:tcPr>
            <w:tcW w:w="1276" w:type="dxa"/>
          </w:tcPr>
          <w:p w14:paraId="3B00A9D2" w14:textId="77777777" w:rsidR="00FB6398" w:rsidRPr="00432792" w:rsidRDefault="00FB6398" w:rsidP="00E30B31">
            <w:pPr>
              <w:pStyle w:val="Default"/>
              <w:spacing w:after="178"/>
              <w:jc w:val="center"/>
              <w:rPr>
                <w:rFonts w:asciiTheme="minorHAnsi" w:hAnsiTheme="minorHAnsi" w:cstheme="minorHAnsi"/>
                <w:sz w:val="20"/>
                <w:szCs w:val="20"/>
              </w:rPr>
            </w:pPr>
          </w:p>
        </w:tc>
        <w:tc>
          <w:tcPr>
            <w:tcW w:w="1276" w:type="dxa"/>
          </w:tcPr>
          <w:p w14:paraId="237FA958"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w:t>
            </w:r>
          </w:p>
        </w:tc>
      </w:tr>
      <w:tr w:rsidR="00FB6398" w:rsidRPr="00432792" w14:paraId="468155F4" w14:textId="77777777" w:rsidTr="0039024B">
        <w:trPr>
          <w:jc w:val="center"/>
        </w:trPr>
        <w:tc>
          <w:tcPr>
            <w:tcW w:w="1276" w:type="dxa"/>
          </w:tcPr>
          <w:p w14:paraId="035196E8"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Barton Park Phase 1</w:t>
            </w:r>
          </w:p>
        </w:tc>
        <w:tc>
          <w:tcPr>
            <w:tcW w:w="1619" w:type="dxa"/>
          </w:tcPr>
          <w:p w14:paraId="6C16F202"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15/03642/RES</w:t>
            </w:r>
          </w:p>
        </w:tc>
        <w:tc>
          <w:tcPr>
            <w:tcW w:w="1276" w:type="dxa"/>
          </w:tcPr>
          <w:p w14:paraId="474F2B9E"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14</w:t>
            </w:r>
          </w:p>
        </w:tc>
        <w:tc>
          <w:tcPr>
            <w:tcW w:w="1276" w:type="dxa"/>
          </w:tcPr>
          <w:p w14:paraId="434924BD" w14:textId="77777777" w:rsidR="00FB6398" w:rsidRPr="00432792" w:rsidRDefault="00FB6398" w:rsidP="00E30B31">
            <w:pPr>
              <w:pStyle w:val="Default"/>
              <w:spacing w:after="178"/>
              <w:jc w:val="center"/>
              <w:rPr>
                <w:rFonts w:asciiTheme="minorHAnsi" w:hAnsiTheme="minorHAnsi" w:cstheme="minorHAnsi"/>
                <w:sz w:val="20"/>
                <w:szCs w:val="20"/>
              </w:rPr>
            </w:pPr>
          </w:p>
        </w:tc>
        <w:tc>
          <w:tcPr>
            <w:tcW w:w="1276" w:type="dxa"/>
          </w:tcPr>
          <w:p w14:paraId="6813466B" w14:textId="77777777" w:rsidR="00FB6398" w:rsidRPr="00432792" w:rsidRDefault="00FB6398" w:rsidP="00E30B31">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14</w:t>
            </w:r>
          </w:p>
        </w:tc>
      </w:tr>
    </w:tbl>
    <w:p w14:paraId="6ACB5EBC" w14:textId="5808A856" w:rsidR="00FB6398" w:rsidRPr="00E46DC8" w:rsidRDefault="00FB6398" w:rsidP="0032728C">
      <w:pPr>
        <w:pStyle w:val="Default"/>
        <w:spacing w:before="240" w:after="178"/>
        <w:jc w:val="center"/>
        <w:rPr>
          <w:rFonts w:asciiTheme="minorHAnsi" w:hAnsiTheme="minorHAnsi" w:cstheme="minorBidi"/>
          <w:sz w:val="20"/>
          <w:szCs w:val="20"/>
        </w:rPr>
      </w:pPr>
      <w:r w:rsidRPr="00E46DC8">
        <w:rPr>
          <w:rFonts w:asciiTheme="minorHAnsi" w:hAnsiTheme="minorHAnsi" w:cstheme="minorBidi"/>
          <w:b/>
          <w:bCs/>
          <w:sz w:val="20"/>
          <w:szCs w:val="20"/>
        </w:rPr>
        <w:t xml:space="preserve">Table </w:t>
      </w:r>
      <w:r w:rsidR="00B509B2">
        <w:rPr>
          <w:rFonts w:asciiTheme="minorHAnsi" w:hAnsiTheme="minorHAnsi" w:cstheme="minorBidi"/>
          <w:b/>
          <w:bCs/>
          <w:sz w:val="20"/>
          <w:szCs w:val="20"/>
        </w:rPr>
        <w:t>9</w:t>
      </w:r>
      <w:r w:rsidRPr="00E46DC8">
        <w:rPr>
          <w:rFonts w:asciiTheme="minorHAnsi" w:hAnsiTheme="minorHAnsi" w:cstheme="minorBidi"/>
          <w:b/>
          <w:bCs/>
          <w:sz w:val="20"/>
          <w:szCs w:val="20"/>
        </w:rPr>
        <w:t>:</w:t>
      </w:r>
      <w:r w:rsidRPr="00E46DC8">
        <w:rPr>
          <w:rFonts w:asciiTheme="minorHAnsi" w:hAnsiTheme="minorHAnsi" w:cstheme="minorBidi"/>
          <w:sz w:val="20"/>
          <w:szCs w:val="20"/>
        </w:rPr>
        <w:t xml:space="preserve"> Affordable homes completed on City land (by tenure) 2020/21</w:t>
      </w:r>
    </w:p>
    <w:p w14:paraId="08D5C7CA" w14:textId="77777777" w:rsidR="00E30B31" w:rsidRPr="00292CDF" w:rsidRDefault="35B8BBBA" w:rsidP="00983FDF">
      <w:pPr>
        <w:pStyle w:val="ListParagraph"/>
        <w:keepNext/>
        <w:numPr>
          <w:ilvl w:val="1"/>
          <w:numId w:val="11"/>
        </w:numPr>
        <w:spacing w:after="200" w:line="276" w:lineRule="auto"/>
        <w:ind w:hanging="502"/>
        <w:jc w:val="both"/>
        <w:rPr>
          <w:rFonts w:asciiTheme="minorHAnsi" w:hAnsiTheme="minorHAnsi" w:cstheme="minorHAnsi"/>
        </w:rPr>
      </w:pPr>
      <w:r w:rsidRPr="00292CDF">
        <w:rPr>
          <w:rFonts w:asciiTheme="minorHAnsi" w:hAnsiTheme="minorHAnsi" w:cstheme="minorHAnsi"/>
        </w:rPr>
        <w:t xml:space="preserve">In addition to the sites identified above there are a number of developments on City owned land that are under construction including on land at Between Towns Road (38 dwellings), </w:t>
      </w:r>
      <w:proofErr w:type="spellStart"/>
      <w:r w:rsidRPr="00292CDF">
        <w:rPr>
          <w:rFonts w:asciiTheme="minorHAnsi" w:hAnsiTheme="minorHAnsi" w:cstheme="minorHAnsi"/>
        </w:rPr>
        <w:t>Cumberlege</w:t>
      </w:r>
      <w:proofErr w:type="spellEnd"/>
      <w:r w:rsidRPr="00292CDF">
        <w:rPr>
          <w:rFonts w:asciiTheme="minorHAnsi" w:hAnsiTheme="minorHAnsi" w:cstheme="minorHAnsi"/>
        </w:rPr>
        <w:t xml:space="preserve"> Close (9 dwellings) and </w:t>
      </w:r>
      <w:proofErr w:type="spellStart"/>
      <w:r w:rsidRPr="00292CDF">
        <w:rPr>
          <w:rFonts w:asciiTheme="minorHAnsi" w:hAnsiTheme="minorHAnsi" w:cstheme="minorHAnsi"/>
        </w:rPr>
        <w:t>Elsfield</w:t>
      </w:r>
      <w:proofErr w:type="spellEnd"/>
      <w:r w:rsidRPr="00292CDF">
        <w:rPr>
          <w:rFonts w:asciiTheme="minorHAnsi" w:hAnsiTheme="minorHAnsi" w:cstheme="minorHAnsi"/>
        </w:rPr>
        <w:t xml:space="preserve"> Hall (26 dwellings). </w:t>
      </w:r>
    </w:p>
    <w:p w14:paraId="17F87FC2" w14:textId="77967819" w:rsidR="00E30B31" w:rsidRDefault="00E30B31" w:rsidP="0012619C">
      <w:pPr>
        <w:pStyle w:val="Heading2"/>
      </w:pPr>
      <w:bookmarkStart w:id="33" w:name="_Toc88135851"/>
      <w:r>
        <w:t>Changes of use</w:t>
      </w:r>
      <w:bookmarkEnd w:id="33"/>
    </w:p>
    <w:p w14:paraId="1D093160" w14:textId="2DAD976A" w:rsidR="0012619C"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Of the 743 dwellings completed during the 2020/21 monitoring year, 144 additional dwellings were delivered through the change of use of existing buildings from non-residential to C3 residential.  134 dwellings were delivered through a Prior Approval application from </w:t>
      </w:r>
      <w:r w:rsidR="37CC251D" w:rsidRPr="0012619C">
        <w:rPr>
          <w:rFonts w:eastAsiaTheme="minorEastAsia"/>
        </w:rPr>
        <w:t>B1 (</w:t>
      </w:r>
      <w:r w:rsidRPr="0012619C">
        <w:rPr>
          <w:rFonts w:eastAsiaTheme="minorEastAsia"/>
        </w:rPr>
        <w:t>office use</w:t>
      </w:r>
      <w:r w:rsidR="6B991BA5" w:rsidRPr="0012619C">
        <w:rPr>
          <w:rFonts w:eastAsiaTheme="minorEastAsia"/>
        </w:rPr>
        <w:t>)</w:t>
      </w:r>
      <w:r w:rsidRPr="0012619C">
        <w:rPr>
          <w:rFonts w:eastAsiaTheme="minorEastAsia"/>
        </w:rPr>
        <w:t xml:space="preserve"> to C3 (former Nielsen House),  4 dwellings were delivered through the change of use from </w:t>
      </w:r>
      <w:r w:rsidRPr="0012619C">
        <w:rPr>
          <w:rFonts w:eastAsiaTheme="minorEastAsia"/>
        </w:rPr>
        <w:lastRenderedPageBreak/>
        <w:t xml:space="preserve">A2 to A3/C3, 4 dwellings were delivered via a change of use from Sui Gen to C3 (3 of these were Sui Gen Student to C3 and the other was a Sui Gen (Large HMO) to C3), 1 dwelling was delivered through the change of use from retail (A1) to A1/C3, and 1 dwelling was delivered through the change of use of a care home (C2). </w:t>
      </w:r>
    </w:p>
    <w:p w14:paraId="66E23E6F" w14:textId="5D2205D2" w:rsidR="00E30B31" w:rsidRPr="00292CDF" w:rsidRDefault="35B8BBBA" w:rsidP="00E30B31">
      <w:pPr>
        <w:pStyle w:val="ListParagraph"/>
        <w:keepNext/>
        <w:numPr>
          <w:ilvl w:val="1"/>
          <w:numId w:val="11"/>
        </w:numPr>
        <w:spacing w:before="240" w:after="200" w:line="276" w:lineRule="auto"/>
        <w:ind w:hanging="502"/>
        <w:jc w:val="both"/>
        <w:rPr>
          <w:rFonts w:asciiTheme="minorHAnsi" w:hAnsiTheme="minorHAnsi" w:cstheme="minorHAnsi"/>
        </w:rPr>
      </w:pPr>
      <w:r w:rsidRPr="00292CDF">
        <w:rPr>
          <w:rFonts w:asciiTheme="minorHAnsi" w:hAnsiTheme="minorHAnsi" w:cstheme="minorHAnsi"/>
        </w:rPr>
        <w:t xml:space="preserve">1 existing C3 dwelling was also lost when a farm and outbuildings were the subject of a change of use application to an office, although it should be noted that this application also resulted in the creation of an additional 2 bed house, so the net was 0.  These change of use applications are set out in the table below (Table </w:t>
      </w:r>
      <w:r w:rsidR="00B509B2" w:rsidRPr="00292CDF">
        <w:rPr>
          <w:rFonts w:asciiTheme="minorHAnsi" w:hAnsiTheme="minorHAnsi" w:cstheme="minorHAnsi"/>
        </w:rPr>
        <w:t>10</w:t>
      </w:r>
      <w:r w:rsidRPr="00292CDF">
        <w:rPr>
          <w:rFonts w:asciiTheme="minorHAnsi" w:hAnsiTheme="minorHAnsi" w:cstheme="minorHAnsi"/>
        </w:rPr>
        <w:t>).</w:t>
      </w:r>
    </w:p>
    <w:tbl>
      <w:tblPr>
        <w:tblStyle w:val="TableGrid102"/>
        <w:tblW w:w="0" w:type="auto"/>
        <w:jc w:val="center"/>
        <w:tblLook w:val="04A0" w:firstRow="1" w:lastRow="0" w:firstColumn="1" w:lastColumn="0" w:noHBand="0" w:noVBand="1"/>
        <w:tblCaption w:val="Table 12: Net additional dwellings completed through non-residential to C3 residential changes of use 2019/20"/>
        <w:tblDescription w:val="Details of net additional dwellings completed through non-residential to C3 residential changes of use in 2019/20 including a breakdown of those which are market dwellings and those which are affordable dwellings."/>
      </w:tblPr>
      <w:tblGrid>
        <w:gridCol w:w="4535"/>
        <w:gridCol w:w="1418"/>
        <w:gridCol w:w="1417"/>
      </w:tblGrid>
      <w:tr w:rsidR="00FB6398" w:rsidRPr="005F1833" w14:paraId="32AF76FA" w14:textId="77777777" w:rsidTr="0039024B">
        <w:trPr>
          <w:trHeight w:val="475"/>
          <w:tblHeader/>
          <w:jc w:val="center"/>
        </w:trPr>
        <w:tc>
          <w:tcPr>
            <w:tcW w:w="4535" w:type="dxa"/>
            <w:shd w:val="clear" w:color="auto" w:fill="E2EFD9" w:themeFill="accent6" w:themeFillTint="33"/>
            <w:vAlign w:val="center"/>
          </w:tcPr>
          <w:p w14:paraId="418EA509" w14:textId="77777777" w:rsidR="00FB6398" w:rsidRPr="00E30B31" w:rsidRDefault="00FB6398" w:rsidP="00FB6398">
            <w:pPr>
              <w:jc w:val="center"/>
              <w:rPr>
                <w:rFonts w:asciiTheme="minorHAnsi" w:eastAsia="Times New Roman" w:hAnsiTheme="minorHAnsi" w:cstheme="minorHAnsi"/>
                <w:b/>
                <w:color w:val="262626" w:themeColor="text1" w:themeTint="D9"/>
                <w:sz w:val="22"/>
                <w:szCs w:val="22"/>
              </w:rPr>
            </w:pPr>
            <w:r w:rsidRPr="00E30B31">
              <w:rPr>
                <w:rFonts w:asciiTheme="minorHAnsi" w:eastAsia="Times New Roman" w:hAnsiTheme="minorHAnsi" w:cstheme="minorHAnsi"/>
                <w:b/>
                <w:color w:val="262626" w:themeColor="text1" w:themeTint="D9"/>
                <w:sz w:val="22"/>
                <w:szCs w:val="22"/>
              </w:rPr>
              <w:t>Type of change of use</w:t>
            </w:r>
          </w:p>
        </w:tc>
        <w:tc>
          <w:tcPr>
            <w:tcW w:w="1418" w:type="dxa"/>
            <w:shd w:val="clear" w:color="auto" w:fill="E2EFD9" w:themeFill="accent6" w:themeFillTint="33"/>
          </w:tcPr>
          <w:p w14:paraId="185E1653" w14:textId="77777777" w:rsidR="00FB6398" w:rsidRPr="00E30B31" w:rsidRDefault="00FB6398" w:rsidP="00FB6398">
            <w:pPr>
              <w:jc w:val="center"/>
              <w:rPr>
                <w:rFonts w:asciiTheme="minorHAnsi" w:eastAsia="Times New Roman" w:hAnsiTheme="minorHAnsi" w:cstheme="minorHAnsi"/>
                <w:b/>
                <w:color w:val="262626" w:themeColor="text1" w:themeTint="D9"/>
                <w:sz w:val="22"/>
                <w:szCs w:val="22"/>
              </w:rPr>
            </w:pPr>
            <w:r w:rsidRPr="00E30B31">
              <w:rPr>
                <w:rFonts w:asciiTheme="minorHAnsi" w:eastAsia="Times New Roman" w:hAnsiTheme="minorHAnsi" w:cstheme="minorHAnsi"/>
                <w:b/>
                <w:color w:val="262626" w:themeColor="text1" w:themeTint="D9"/>
                <w:sz w:val="22"/>
                <w:szCs w:val="22"/>
              </w:rPr>
              <w:t>No. market dwellings completed (net)</w:t>
            </w:r>
          </w:p>
        </w:tc>
        <w:tc>
          <w:tcPr>
            <w:tcW w:w="1417" w:type="dxa"/>
            <w:shd w:val="clear" w:color="auto" w:fill="E2EFD9" w:themeFill="accent6" w:themeFillTint="33"/>
          </w:tcPr>
          <w:p w14:paraId="6C8B2FA3" w14:textId="77777777" w:rsidR="00FB6398" w:rsidRPr="00E30B31" w:rsidRDefault="00FB6398" w:rsidP="00FB6398">
            <w:pPr>
              <w:jc w:val="center"/>
              <w:rPr>
                <w:rFonts w:asciiTheme="minorHAnsi" w:eastAsia="Times New Roman" w:hAnsiTheme="minorHAnsi" w:cstheme="minorHAnsi"/>
                <w:b/>
                <w:color w:val="262626" w:themeColor="text1" w:themeTint="D9"/>
                <w:sz w:val="22"/>
                <w:szCs w:val="22"/>
              </w:rPr>
            </w:pPr>
            <w:r w:rsidRPr="00E30B31">
              <w:rPr>
                <w:rFonts w:asciiTheme="minorHAnsi" w:eastAsia="Times New Roman" w:hAnsiTheme="minorHAnsi" w:cstheme="minorHAnsi"/>
                <w:b/>
                <w:color w:val="262626" w:themeColor="text1" w:themeTint="D9"/>
                <w:sz w:val="22"/>
                <w:szCs w:val="22"/>
              </w:rPr>
              <w:t>No. affordable dwellings completed (net)</w:t>
            </w:r>
          </w:p>
        </w:tc>
      </w:tr>
      <w:tr w:rsidR="00FB6398" w:rsidRPr="005F1833" w14:paraId="0CD45F08" w14:textId="77777777" w:rsidTr="0039024B">
        <w:trPr>
          <w:jc w:val="center"/>
        </w:trPr>
        <w:tc>
          <w:tcPr>
            <w:tcW w:w="4535" w:type="dxa"/>
            <w:shd w:val="clear" w:color="auto" w:fill="auto"/>
          </w:tcPr>
          <w:p w14:paraId="10742AEB" w14:textId="77777777" w:rsidR="00FB6398" w:rsidRPr="00E30B31" w:rsidRDefault="00FB6398" w:rsidP="00FB6398">
            <w:pPr>
              <w:jc w:val="center"/>
              <w:rPr>
                <w:rFonts w:asciiTheme="minorHAnsi" w:hAnsiTheme="minorHAnsi" w:cstheme="minorHAnsi"/>
                <w:sz w:val="22"/>
                <w:szCs w:val="22"/>
              </w:rPr>
            </w:pPr>
            <w:r w:rsidRPr="00E30B31">
              <w:rPr>
                <w:rFonts w:asciiTheme="minorHAnsi" w:hAnsiTheme="minorHAnsi" w:cstheme="minorHAnsi"/>
                <w:sz w:val="22"/>
                <w:szCs w:val="22"/>
              </w:rPr>
              <w:t>Change of use of Nielsen House and annex from office (Use Class B1(a)) to residential (Use Class C3)</w:t>
            </w:r>
          </w:p>
          <w:p w14:paraId="539F2188" w14:textId="77777777" w:rsidR="00FB6398" w:rsidRPr="00E30B31" w:rsidRDefault="00FB6398" w:rsidP="00FB6398">
            <w:pPr>
              <w:jc w:val="center"/>
              <w:rPr>
                <w:rFonts w:asciiTheme="minorHAnsi" w:hAnsiTheme="minorHAnsi" w:cstheme="minorHAnsi"/>
                <w:sz w:val="22"/>
                <w:szCs w:val="22"/>
              </w:rPr>
            </w:pPr>
          </w:p>
          <w:p w14:paraId="1AD64609" w14:textId="77777777" w:rsidR="00FB6398" w:rsidRPr="00E30B31" w:rsidRDefault="00FB6398" w:rsidP="00FB6398">
            <w:pPr>
              <w:jc w:val="center"/>
              <w:rPr>
                <w:rFonts w:asciiTheme="minorHAnsi" w:eastAsia="Times New Roman" w:hAnsiTheme="minorHAnsi" w:cstheme="minorHAnsi"/>
                <w:sz w:val="22"/>
                <w:szCs w:val="22"/>
              </w:rPr>
            </w:pPr>
            <w:r w:rsidRPr="00E30B31">
              <w:rPr>
                <w:rFonts w:asciiTheme="minorHAnsi" w:hAnsiTheme="minorHAnsi" w:cstheme="minorHAnsi"/>
                <w:sz w:val="22"/>
                <w:szCs w:val="22"/>
              </w:rPr>
              <w:t>Nielsen House, London Road, Oxford (17/02969/B56) (134 dwellings)</w:t>
            </w:r>
          </w:p>
        </w:tc>
        <w:tc>
          <w:tcPr>
            <w:tcW w:w="1418" w:type="dxa"/>
          </w:tcPr>
          <w:p w14:paraId="294982C4"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134</w:t>
            </w:r>
          </w:p>
          <w:p w14:paraId="042A553A"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p>
        </w:tc>
        <w:tc>
          <w:tcPr>
            <w:tcW w:w="1417" w:type="dxa"/>
            <w:shd w:val="clear" w:color="auto" w:fill="auto"/>
          </w:tcPr>
          <w:p w14:paraId="67143223"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0</w:t>
            </w:r>
          </w:p>
        </w:tc>
      </w:tr>
      <w:tr w:rsidR="00FB6398" w:rsidRPr="005F1833" w14:paraId="610D2AE9" w14:textId="77777777" w:rsidTr="0039024B">
        <w:trPr>
          <w:jc w:val="center"/>
        </w:trPr>
        <w:tc>
          <w:tcPr>
            <w:tcW w:w="4535" w:type="dxa"/>
            <w:shd w:val="clear" w:color="auto" w:fill="auto"/>
          </w:tcPr>
          <w:p w14:paraId="4A4E621D" w14:textId="77777777" w:rsidR="00FB6398" w:rsidRPr="00E30B31" w:rsidRDefault="00FB6398" w:rsidP="00FB6398">
            <w:pPr>
              <w:jc w:val="center"/>
              <w:rPr>
                <w:rFonts w:asciiTheme="minorHAnsi" w:hAnsiTheme="minorHAnsi" w:cstheme="minorHAnsi"/>
                <w:sz w:val="22"/>
                <w:szCs w:val="22"/>
                <w:shd w:val="clear" w:color="auto" w:fill="FFFFFF"/>
              </w:rPr>
            </w:pPr>
            <w:r w:rsidRPr="00E30B31">
              <w:rPr>
                <w:rFonts w:asciiTheme="minorHAnsi" w:hAnsiTheme="minorHAnsi" w:cstheme="minorHAnsi"/>
                <w:sz w:val="22"/>
                <w:szCs w:val="22"/>
                <w:shd w:val="clear" w:color="auto" w:fill="FFFFFF"/>
              </w:rPr>
              <w:t>Change of use of ground floor, basement and mezzanine level from Bank (A2) to restaurant (A3), and use of upper floor as four apartments (C3)</w:t>
            </w:r>
          </w:p>
          <w:p w14:paraId="3C16D2D2" w14:textId="77777777" w:rsidR="00FB6398" w:rsidRPr="00E30B31" w:rsidRDefault="00FB6398" w:rsidP="00FB6398">
            <w:pPr>
              <w:jc w:val="center"/>
              <w:rPr>
                <w:rFonts w:asciiTheme="minorHAnsi" w:eastAsia="Times New Roman" w:hAnsiTheme="minorHAnsi" w:cstheme="minorHAnsi"/>
                <w:sz w:val="22"/>
                <w:szCs w:val="22"/>
              </w:rPr>
            </w:pPr>
            <w:r w:rsidRPr="00E30B31">
              <w:rPr>
                <w:rFonts w:asciiTheme="minorHAnsi" w:hAnsiTheme="minorHAnsi" w:cstheme="minorHAnsi"/>
                <w:sz w:val="22"/>
                <w:szCs w:val="22"/>
                <w:shd w:val="clear" w:color="auto" w:fill="FFFFFF"/>
              </w:rPr>
              <w:t>120-122 High Street, Oxford (18/00667/FUL) (4 dwellings)</w:t>
            </w:r>
          </w:p>
        </w:tc>
        <w:tc>
          <w:tcPr>
            <w:tcW w:w="1418" w:type="dxa"/>
          </w:tcPr>
          <w:p w14:paraId="52A2856D"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4</w:t>
            </w:r>
          </w:p>
        </w:tc>
        <w:tc>
          <w:tcPr>
            <w:tcW w:w="1417" w:type="dxa"/>
            <w:shd w:val="clear" w:color="auto" w:fill="auto"/>
          </w:tcPr>
          <w:p w14:paraId="3FE576D9"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0</w:t>
            </w:r>
          </w:p>
        </w:tc>
      </w:tr>
      <w:tr w:rsidR="00FB6398" w:rsidRPr="005F1833" w14:paraId="4A3C24BD" w14:textId="77777777" w:rsidTr="0039024B">
        <w:trPr>
          <w:jc w:val="center"/>
        </w:trPr>
        <w:tc>
          <w:tcPr>
            <w:tcW w:w="4535" w:type="dxa"/>
            <w:shd w:val="clear" w:color="auto" w:fill="auto"/>
          </w:tcPr>
          <w:p w14:paraId="513422CE" w14:textId="77777777" w:rsidR="00FB6398" w:rsidRPr="00E30B31" w:rsidRDefault="00FB6398" w:rsidP="00FB6398">
            <w:pPr>
              <w:jc w:val="center"/>
              <w:rPr>
                <w:rFonts w:asciiTheme="minorHAnsi" w:hAnsiTheme="minorHAnsi" w:cstheme="minorHAnsi"/>
                <w:sz w:val="22"/>
                <w:szCs w:val="22"/>
              </w:rPr>
            </w:pPr>
            <w:r w:rsidRPr="00E30B31">
              <w:rPr>
                <w:rFonts w:asciiTheme="minorHAnsi" w:hAnsiTheme="minorHAnsi" w:cstheme="minorHAnsi"/>
                <w:sz w:val="22"/>
                <w:szCs w:val="22"/>
              </w:rPr>
              <w:t>Change of use of upper ground, first and second floors from student hostel (Sui Generis) to 3 flats (Use Class C3)</w:t>
            </w:r>
          </w:p>
          <w:p w14:paraId="582823D5" w14:textId="77777777" w:rsidR="00FB6398" w:rsidRPr="00E30B31" w:rsidRDefault="00FB6398" w:rsidP="00FB6398">
            <w:pPr>
              <w:jc w:val="center"/>
              <w:rPr>
                <w:rFonts w:asciiTheme="minorHAnsi" w:hAnsiTheme="minorHAnsi" w:cstheme="minorHAnsi"/>
                <w:sz w:val="22"/>
                <w:szCs w:val="22"/>
              </w:rPr>
            </w:pPr>
          </w:p>
          <w:p w14:paraId="16F38AE8" w14:textId="77777777" w:rsidR="00FB6398" w:rsidRPr="00E30B31" w:rsidRDefault="00FB6398" w:rsidP="00FB6398">
            <w:pPr>
              <w:jc w:val="center"/>
              <w:rPr>
                <w:rFonts w:asciiTheme="minorHAnsi" w:hAnsiTheme="minorHAnsi" w:cstheme="minorHAnsi"/>
                <w:sz w:val="22"/>
                <w:szCs w:val="22"/>
              </w:rPr>
            </w:pPr>
            <w:r w:rsidRPr="00E30B31">
              <w:rPr>
                <w:rFonts w:asciiTheme="minorHAnsi" w:hAnsiTheme="minorHAnsi" w:cstheme="minorHAnsi"/>
                <w:sz w:val="22"/>
                <w:szCs w:val="22"/>
              </w:rPr>
              <w:t xml:space="preserve">175 </w:t>
            </w:r>
            <w:proofErr w:type="spellStart"/>
            <w:r w:rsidRPr="00E30B31">
              <w:rPr>
                <w:rFonts w:asciiTheme="minorHAnsi" w:hAnsiTheme="minorHAnsi" w:cstheme="minorHAnsi"/>
                <w:sz w:val="22"/>
                <w:szCs w:val="22"/>
              </w:rPr>
              <w:t>Iffley</w:t>
            </w:r>
            <w:proofErr w:type="spellEnd"/>
            <w:r w:rsidRPr="00E30B31">
              <w:rPr>
                <w:rFonts w:asciiTheme="minorHAnsi" w:hAnsiTheme="minorHAnsi" w:cstheme="minorHAnsi"/>
                <w:sz w:val="22"/>
                <w:szCs w:val="22"/>
              </w:rPr>
              <w:t xml:space="preserve"> Road, Oxford (15/01830/FUL) (3 dwellings) </w:t>
            </w:r>
          </w:p>
          <w:p w14:paraId="1824A8AC" w14:textId="77777777" w:rsidR="00FB6398" w:rsidRPr="00E30B31" w:rsidRDefault="00FB6398" w:rsidP="00FB6398">
            <w:pPr>
              <w:jc w:val="center"/>
              <w:rPr>
                <w:rFonts w:asciiTheme="minorHAnsi" w:eastAsia="Times New Roman" w:hAnsiTheme="minorHAnsi" w:cstheme="minorHAnsi"/>
                <w:sz w:val="22"/>
                <w:szCs w:val="22"/>
              </w:rPr>
            </w:pPr>
          </w:p>
        </w:tc>
        <w:tc>
          <w:tcPr>
            <w:tcW w:w="1418" w:type="dxa"/>
          </w:tcPr>
          <w:p w14:paraId="51677F69"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3</w:t>
            </w:r>
          </w:p>
        </w:tc>
        <w:tc>
          <w:tcPr>
            <w:tcW w:w="1417" w:type="dxa"/>
            <w:shd w:val="clear" w:color="auto" w:fill="auto"/>
          </w:tcPr>
          <w:p w14:paraId="0A8FD071"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0</w:t>
            </w:r>
          </w:p>
        </w:tc>
      </w:tr>
      <w:tr w:rsidR="00FB6398" w:rsidRPr="005F1833" w14:paraId="5B392252" w14:textId="77777777" w:rsidTr="0039024B">
        <w:trPr>
          <w:jc w:val="center"/>
        </w:trPr>
        <w:tc>
          <w:tcPr>
            <w:tcW w:w="4535" w:type="dxa"/>
            <w:shd w:val="clear" w:color="auto" w:fill="auto"/>
          </w:tcPr>
          <w:p w14:paraId="005A4E84" w14:textId="7793E757" w:rsidR="00FB6398" w:rsidRPr="00E30B31" w:rsidRDefault="35B8BBBA" w:rsidP="00FB6398">
            <w:pPr>
              <w:jc w:val="center"/>
              <w:rPr>
                <w:rFonts w:asciiTheme="minorHAnsi" w:hAnsiTheme="minorHAnsi" w:cstheme="minorHAnsi"/>
                <w:sz w:val="22"/>
                <w:szCs w:val="22"/>
              </w:rPr>
            </w:pPr>
            <w:r w:rsidRPr="00E30B31">
              <w:rPr>
                <w:rFonts w:asciiTheme="minorHAnsi" w:hAnsiTheme="minorHAnsi" w:cstheme="minorHAnsi"/>
                <w:sz w:val="22"/>
                <w:szCs w:val="22"/>
              </w:rPr>
              <w:t xml:space="preserve">Change of use from large HMO (Sui Generis) to </w:t>
            </w:r>
            <w:r w:rsidR="00DEAFC4" w:rsidRPr="00E30B31">
              <w:rPr>
                <w:rFonts w:asciiTheme="minorHAnsi" w:hAnsiTheme="minorHAnsi" w:cstheme="minorHAnsi"/>
                <w:sz w:val="22"/>
                <w:szCs w:val="22"/>
              </w:rPr>
              <w:t>dwelling house</w:t>
            </w:r>
            <w:r w:rsidRPr="00E30B31">
              <w:rPr>
                <w:rFonts w:asciiTheme="minorHAnsi" w:hAnsiTheme="minorHAnsi" w:cstheme="minorHAnsi"/>
                <w:sz w:val="22"/>
                <w:szCs w:val="22"/>
              </w:rPr>
              <w:t xml:space="preserve"> (Use Class C3). </w:t>
            </w:r>
          </w:p>
          <w:p w14:paraId="2382C7FD" w14:textId="77777777" w:rsidR="00FB6398" w:rsidRPr="00E30B31" w:rsidRDefault="00FB6398" w:rsidP="00FB6398">
            <w:pPr>
              <w:jc w:val="center"/>
              <w:rPr>
                <w:rFonts w:asciiTheme="minorHAnsi" w:hAnsiTheme="minorHAnsi" w:cstheme="minorHAnsi"/>
                <w:sz w:val="22"/>
                <w:szCs w:val="22"/>
              </w:rPr>
            </w:pPr>
          </w:p>
          <w:p w14:paraId="6B3F0AED" w14:textId="77777777" w:rsidR="00FB6398" w:rsidRPr="00E30B31" w:rsidRDefault="00FB6398" w:rsidP="00FB6398">
            <w:pPr>
              <w:jc w:val="center"/>
              <w:rPr>
                <w:rFonts w:asciiTheme="minorHAnsi" w:hAnsiTheme="minorHAnsi" w:cstheme="minorHAnsi"/>
                <w:sz w:val="22"/>
                <w:szCs w:val="22"/>
              </w:rPr>
            </w:pPr>
            <w:r w:rsidRPr="00E30B31">
              <w:rPr>
                <w:rFonts w:asciiTheme="minorHAnsi" w:hAnsiTheme="minorHAnsi" w:cstheme="minorHAnsi"/>
                <w:sz w:val="22"/>
                <w:szCs w:val="22"/>
              </w:rPr>
              <w:t>204 Woodstock Road, Oxford (20/00607/FUL) (1 dwelling)</w:t>
            </w:r>
          </w:p>
          <w:p w14:paraId="6C932267" w14:textId="77777777" w:rsidR="00FB6398" w:rsidRPr="00E30B31" w:rsidRDefault="00FB6398" w:rsidP="00FB6398">
            <w:pPr>
              <w:jc w:val="center"/>
              <w:rPr>
                <w:rFonts w:asciiTheme="minorHAnsi" w:eastAsia="Times New Roman" w:hAnsiTheme="minorHAnsi" w:cstheme="minorHAnsi"/>
                <w:sz w:val="22"/>
                <w:szCs w:val="22"/>
              </w:rPr>
            </w:pPr>
          </w:p>
        </w:tc>
        <w:tc>
          <w:tcPr>
            <w:tcW w:w="1418" w:type="dxa"/>
          </w:tcPr>
          <w:p w14:paraId="639BB071"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1</w:t>
            </w:r>
          </w:p>
        </w:tc>
        <w:tc>
          <w:tcPr>
            <w:tcW w:w="1417" w:type="dxa"/>
            <w:shd w:val="clear" w:color="auto" w:fill="auto"/>
          </w:tcPr>
          <w:p w14:paraId="66CCD5F6"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0</w:t>
            </w:r>
          </w:p>
        </w:tc>
      </w:tr>
      <w:tr w:rsidR="00FB6398" w:rsidRPr="005F1833" w14:paraId="2F8BCA46" w14:textId="77777777" w:rsidTr="0039024B">
        <w:trPr>
          <w:jc w:val="center"/>
        </w:trPr>
        <w:tc>
          <w:tcPr>
            <w:tcW w:w="4535" w:type="dxa"/>
            <w:shd w:val="clear" w:color="auto" w:fill="auto"/>
          </w:tcPr>
          <w:p w14:paraId="39E68978" w14:textId="77777777" w:rsidR="00FB6398" w:rsidRPr="00E30B31" w:rsidRDefault="00FB6398" w:rsidP="00FB6398">
            <w:pPr>
              <w:jc w:val="center"/>
              <w:rPr>
                <w:rFonts w:asciiTheme="minorHAnsi" w:hAnsiTheme="minorHAnsi" w:cstheme="minorHAnsi"/>
                <w:sz w:val="22"/>
                <w:szCs w:val="22"/>
              </w:rPr>
            </w:pPr>
            <w:r w:rsidRPr="00E30B31">
              <w:rPr>
                <w:rFonts w:asciiTheme="minorHAnsi" w:hAnsiTheme="minorHAnsi" w:cstheme="minorHAnsi"/>
                <w:sz w:val="22"/>
                <w:szCs w:val="22"/>
              </w:rPr>
              <w:t>Application to certify that the proposed change of use from Retail (Use Class A1) to mixed use comprising Retail at ground floor level (Use Class A1) and Residential at first floor level (Use Class C3) is lawful development.</w:t>
            </w:r>
          </w:p>
          <w:p w14:paraId="5C3486BA" w14:textId="77777777" w:rsidR="00FB6398" w:rsidRPr="00E30B31" w:rsidRDefault="00FB6398" w:rsidP="00FB6398">
            <w:pPr>
              <w:jc w:val="center"/>
              <w:rPr>
                <w:rFonts w:asciiTheme="minorHAnsi" w:hAnsiTheme="minorHAnsi" w:cstheme="minorHAnsi"/>
                <w:sz w:val="22"/>
                <w:szCs w:val="22"/>
              </w:rPr>
            </w:pPr>
          </w:p>
          <w:p w14:paraId="66216802" w14:textId="77777777" w:rsidR="00FB6398" w:rsidRPr="00E30B31" w:rsidRDefault="00FB6398" w:rsidP="00FB6398">
            <w:pPr>
              <w:jc w:val="center"/>
              <w:rPr>
                <w:rFonts w:asciiTheme="minorHAnsi" w:eastAsia="Times New Roman" w:hAnsiTheme="minorHAnsi" w:cstheme="minorHAnsi"/>
                <w:sz w:val="22"/>
                <w:szCs w:val="22"/>
              </w:rPr>
            </w:pPr>
            <w:r w:rsidRPr="00E30B31">
              <w:rPr>
                <w:rFonts w:asciiTheme="minorHAnsi" w:eastAsia="Times New Roman" w:hAnsiTheme="minorHAnsi" w:cstheme="minorHAnsi"/>
                <w:sz w:val="22"/>
                <w:szCs w:val="22"/>
              </w:rPr>
              <w:t>111 London Road, Oxford (17/01138/CPU) (1 dwelling)</w:t>
            </w:r>
          </w:p>
        </w:tc>
        <w:tc>
          <w:tcPr>
            <w:tcW w:w="1418" w:type="dxa"/>
          </w:tcPr>
          <w:p w14:paraId="2A9FF7C9"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1</w:t>
            </w:r>
          </w:p>
        </w:tc>
        <w:tc>
          <w:tcPr>
            <w:tcW w:w="1417" w:type="dxa"/>
            <w:shd w:val="clear" w:color="auto" w:fill="auto"/>
          </w:tcPr>
          <w:p w14:paraId="55F19271"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0</w:t>
            </w:r>
          </w:p>
        </w:tc>
      </w:tr>
      <w:tr w:rsidR="00FB6398" w:rsidRPr="005F1833" w14:paraId="247227F4" w14:textId="77777777" w:rsidTr="0039024B">
        <w:trPr>
          <w:jc w:val="center"/>
        </w:trPr>
        <w:tc>
          <w:tcPr>
            <w:tcW w:w="4535" w:type="dxa"/>
            <w:shd w:val="clear" w:color="auto" w:fill="auto"/>
          </w:tcPr>
          <w:p w14:paraId="20DBB560" w14:textId="3E693CB4" w:rsidR="00FB6398" w:rsidRPr="00E30B31" w:rsidRDefault="35B8BBBA" w:rsidP="00FB6398">
            <w:pPr>
              <w:jc w:val="center"/>
              <w:rPr>
                <w:rFonts w:asciiTheme="minorHAnsi" w:hAnsiTheme="minorHAnsi" w:cstheme="minorHAnsi"/>
                <w:sz w:val="22"/>
                <w:szCs w:val="22"/>
              </w:rPr>
            </w:pPr>
            <w:r w:rsidRPr="00E30B31">
              <w:rPr>
                <w:rFonts w:asciiTheme="minorHAnsi" w:hAnsiTheme="minorHAnsi" w:cstheme="minorHAnsi"/>
                <w:sz w:val="22"/>
                <w:szCs w:val="22"/>
              </w:rPr>
              <w:t xml:space="preserve">Change of use from care home (use class C2) to a </w:t>
            </w:r>
            <w:r w:rsidR="15553BF4" w:rsidRPr="00E30B31">
              <w:rPr>
                <w:rFonts w:asciiTheme="minorHAnsi" w:hAnsiTheme="minorHAnsi" w:cstheme="minorHAnsi"/>
                <w:sz w:val="22"/>
                <w:szCs w:val="22"/>
              </w:rPr>
              <w:t>dwelling house</w:t>
            </w:r>
            <w:r w:rsidRPr="00E30B31">
              <w:rPr>
                <w:rFonts w:asciiTheme="minorHAnsi" w:hAnsiTheme="minorHAnsi" w:cstheme="minorHAnsi"/>
                <w:sz w:val="22"/>
                <w:szCs w:val="22"/>
              </w:rPr>
              <w:t xml:space="preserve"> (use class C3)  </w:t>
            </w:r>
          </w:p>
          <w:p w14:paraId="27C9E477" w14:textId="77777777" w:rsidR="00FB6398" w:rsidRPr="00E30B31" w:rsidRDefault="00FB6398" w:rsidP="00FB6398">
            <w:pPr>
              <w:jc w:val="center"/>
              <w:rPr>
                <w:rFonts w:asciiTheme="minorHAnsi" w:hAnsiTheme="minorHAnsi" w:cstheme="minorHAnsi"/>
                <w:sz w:val="22"/>
                <w:szCs w:val="22"/>
              </w:rPr>
            </w:pPr>
          </w:p>
          <w:p w14:paraId="074E72BD" w14:textId="77777777" w:rsidR="00FB6398" w:rsidRPr="00E30B31" w:rsidRDefault="00FB6398" w:rsidP="00FB6398">
            <w:pPr>
              <w:jc w:val="center"/>
              <w:rPr>
                <w:rFonts w:asciiTheme="minorHAnsi" w:hAnsiTheme="minorHAnsi" w:cstheme="minorHAnsi"/>
                <w:sz w:val="22"/>
                <w:szCs w:val="22"/>
              </w:rPr>
            </w:pPr>
            <w:r w:rsidRPr="00E30B31">
              <w:rPr>
                <w:rFonts w:asciiTheme="minorHAnsi" w:hAnsiTheme="minorHAnsi" w:cstheme="minorHAnsi"/>
                <w:sz w:val="22"/>
                <w:szCs w:val="22"/>
              </w:rPr>
              <w:t>27 Islip Road, Oxford (18/00293/FUL)</w:t>
            </w:r>
          </w:p>
          <w:p w14:paraId="67947767" w14:textId="77777777" w:rsidR="00FB6398" w:rsidRPr="00E30B31" w:rsidRDefault="00FB6398" w:rsidP="00FB6398">
            <w:pPr>
              <w:jc w:val="center"/>
              <w:rPr>
                <w:rFonts w:asciiTheme="minorHAnsi" w:eastAsia="Times New Roman" w:hAnsiTheme="minorHAnsi" w:cstheme="minorHAnsi"/>
                <w:sz w:val="22"/>
                <w:szCs w:val="22"/>
              </w:rPr>
            </w:pPr>
            <w:r w:rsidRPr="00E30B31">
              <w:rPr>
                <w:rFonts w:asciiTheme="minorHAnsi" w:hAnsiTheme="minorHAnsi" w:cstheme="minorHAnsi"/>
                <w:sz w:val="22"/>
                <w:szCs w:val="22"/>
              </w:rPr>
              <w:t>(1 dwelling)</w:t>
            </w:r>
          </w:p>
        </w:tc>
        <w:tc>
          <w:tcPr>
            <w:tcW w:w="1418" w:type="dxa"/>
          </w:tcPr>
          <w:p w14:paraId="45B593D8"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lastRenderedPageBreak/>
              <w:t>1</w:t>
            </w:r>
          </w:p>
        </w:tc>
        <w:tc>
          <w:tcPr>
            <w:tcW w:w="1417" w:type="dxa"/>
            <w:shd w:val="clear" w:color="auto" w:fill="auto"/>
          </w:tcPr>
          <w:p w14:paraId="61F58EBF"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0</w:t>
            </w:r>
          </w:p>
        </w:tc>
      </w:tr>
      <w:tr w:rsidR="00FB6398" w:rsidRPr="005F1833" w14:paraId="4560E4D3" w14:textId="77777777" w:rsidTr="0039024B">
        <w:trPr>
          <w:jc w:val="center"/>
        </w:trPr>
        <w:tc>
          <w:tcPr>
            <w:tcW w:w="4535" w:type="dxa"/>
            <w:shd w:val="clear" w:color="auto" w:fill="auto"/>
          </w:tcPr>
          <w:p w14:paraId="4A738B10" w14:textId="306F5A9A" w:rsidR="00FB6398" w:rsidRPr="00E30B31" w:rsidRDefault="35B8BBBA" w:rsidP="00FB6398">
            <w:pPr>
              <w:jc w:val="center"/>
              <w:rPr>
                <w:rFonts w:asciiTheme="minorHAnsi" w:hAnsiTheme="minorHAnsi" w:cstheme="minorHAnsi"/>
                <w:sz w:val="22"/>
                <w:szCs w:val="22"/>
              </w:rPr>
            </w:pPr>
            <w:r w:rsidRPr="00E30B31">
              <w:rPr>
                <w:rFonts w:asciiTheme="minorHAnsi" w:hAnsiTheme="minorHAnsi" w:cstheme="minorHAnsi"/>
                <w:sz w:val="22"/>
                <w:szCs w:val="22"/>
              </w:rPr>
              <w:lastRenderedPageBreak/>
              <w:t xml:space="preserve">Change of Use of Farm and Outbuildings to B1(a) office use for a Design Studio, Erection of an additional building to provide further B1(a) office space and a create of a 1 x 2-bed </w:t>
            </w:r>
            <w:r w:rsidR="620BCC2D" w:rsidRPr="00E30B31">
              <w:rPr>
                <w:rFonts w:asciiTheme="minorHAnsi" w:hAnsiTheme="minorHAnsi" w:cstheme="minorHAnsi"/>
                <w:sz w:val="22"/>
                <w:szCs w:val="22"/>
              </w:rPr>
              <w:t>dwelling house</w:t>
            </w:r>
            <w:r w:rsidRPr="00E30B31">
              <w:rPr>
                <w:rFonts w:asciiTheme="minorHAnsi" w:hAnsiTheme="minorHAnsi" w:cstheme="minorHAnsi"/>
                <w:sz w:val="22"/>
                <w:szCs w:val="22"/>
              </w:rPr>
              <w:t xml:space="preserve"> (Use Class C3)</w:t>
            </w:r>
          </w:p>
          <w:p w14:paraId="4DAAD355" w14:textId="77777777" w:rsidR="00FB6398" w:rsidRPr="00E30B31" w:rsidRDefault="00FB6398" w:rsidP="00FB6398">
            <w:pPr>
              <w:jc w:val="center"/>
              <w:rPr>
                <w:rFonts w:asciiTheme="minorHAnsi" w:hAnsiTheme="minorHAnsi" w:cstheme="minorHAnsi"/>
                <w:sz w:val="22"/>
                <w:szCs w:val="22"/>
              </w:rPr>
            </w:pPr>
            <w:r w:rsidRPr="00E30B31">
              <w:rPr>
                <w:rFonts w:asciiTheme="minorHAnsi" w:hAnsiTheme="minorHAnsi" w:cstheme="minorHAnsi"/>
                <w:sz w:val="22"/>
                <w:szCs w:val="22"/>
              </w:rPr>
              <w:t>Brasenose Farm, Eastern By-Pass, Oxford (17/03391/FUL) (loss of 1 dwelling)</w:t>
            </w:r>
          </w:p>
        </w:tc>
        <w:tc>
          <w:tcPr>
            <w:tcW w:w="1418" w:type="dxa"/>
          </w:tcPr>
          <w:p w14:paraId="2D7A3AA6"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-1</w:t>
            </w:r>
          </w:p>
        </w:tc>
        <w:tc>
          <w:tcPr>
            <w:tcW w:w="1417" w:type="dxa"/>
            <w:shd w:val="clear" w:color="auto" w:fill="auto"/>
          </w:tcPr>
          <w:p w14:paraId="4528B2D1" w14:textId="77777777" w:rsidR="00FB6398" w:rsidRPr="00E30B31" w:rsidRDefault="00FB6398" w:rsidP="00FB6398">
            <w:pPr>
              <w:jc w:val="center"/>
              <w:rPr>
                <w:rFonts w:asciiTheme="minorHAnsi" w:eastAsia="Times New Roman" w:hAnsiTheme="minorHAnsi" w:cstheme="minorHAnsi"/>
                <w:color w:val="262626" w:themeColor="text1" w:themeTint="D9"/>
                <w:sz w:val="22"/>
                <w:szCs w:val="22"/>
              </w:rPr>
            </w:pPr>
            <w:r w:rsidRPr="00E30B31">
              <w:rPr>
                <w:rFonts w:asciiTheme="minorHAnsi" w:eastAsia="Times New Roman" w:hAnsiTheme="minorHAnsi" w:cstheme="minorHAnsi"/>
                <w:color w:val="262626" w:themeColor="text1" w:themeTint="D9"/>
                <w:sz w:val="22"/>
                <w:szCs w:val="22"/>
              </w:rPr>
              <w:t>0</w:t>
            </w:r>
          </w:p>
        </w:tc>
      </w:tr>
      <w:tr w:rsidR="00FB6398" w:rsidRPr="005F1833" w14:paraId="692DC8E1" w14:textId="77777777" w:rsidTr="0039024B">
        <w:trPr>
          <w:jc w:val="center"/>
        </w:trPr>
        <w:tc>
          <w:tcPr>
            <w:tcW w:w="4535" w:type="dxa"/>
            <w:shd w:val="clear" w:color="auto" w:fill="E2EFD9" w:themeFill="accent6" w:themeFillTint="33"/>
          </w:tcPr>
          <w:p w14:paraId="313757E2" w14:textId="77777777" w:rsidR="00FB6398" w:rsidRPr="00E30B31" w:rsidRDefault="00FB6398" w:rsidP="00FB6398">
            <w:pPr>
              <w:jc w:val="center"/>
              <w:rPr>
                <w:rFonts w:asciiTheme="minorHAnsi" w:eastAsia="Times New Roman" w:hAnsiTheme="minorHAnsi" w:cstheme="minorHAnsi"/>
                <w:b/>
                <w:color w:val="262626" w:themeColor="text1" w:themeTint="D9"/>
                <w:sz w:val="22"/>
                <w:szCs w:val="22"/>
              </w:rPr>
            </w:pPr>
            <w:r w:rsidRPr="00E30B31">
              <w:rPr>
                <w:rFonts w:asciiTheme="minorHAnsi" w:eastAsia="Times New Roman" w:hAnsiTheme="minorHAnsi" w:cstheme="minorHAnsi"/>
                <w:b/>
                <w:color w:val="262626" w:themeColor="text1" w:themeTint="D9"/>
                <w:sz w:val="22"/>
                <w:szCs w:val="22"/>
              </w:rPr>
              <w:t>Total</w:t>
            </w:r>
          </w:p>
        </w:tc>
        <w:tc>
          <w:tcPr>
            <w:tcW w:w="1418" w:type="dxa"/>
            <w:shd w:val="clear" w:color="auto" w:fill="E2EFD9" w:themeFill="accent6" w:themeFillTint="33"/>
          </w:tcPr>
          <w:p w14:paraId="33333BCA" w14:textId="77777777" w:rsidR="00FB6398" w:rsidRPr="00E30B31" w:rsidRDefault="00FB6398" w:rsidP="00FB6398">
            <w:pPr>
              <w:jc w:val="center"/>
              <w:rPr>
                <w:rFonts w:asciiTheme="minorHAnsi" w:eastAsia="Times New Roman" w:hAnsiTheme="minorHAnsi" w:cstheme="minorHAnsi"/>
                <w:b/>
                <w:color w:val="262626" w:themeColor="text1" w:themeTint="D9"/>
                <w:sz w:val="22"/>
                <w:szCs w:val="22"/>
              </w:rPr>
            </w:pPr>
            <w:r w:rsidRPr="00E30B31">
              <w:rPr>
                <w:rFonts w:asciiTheme="minorHAnsi" w:eastAsia="Times New Roman" w:hAnsiTheme="minorHAnsi" w:cstheme="minorHAnsi"/>
                <w:b/>
                <w:color w:val="262626" w:themeColor="text1" w:themeTint="D9"/>
                <w:sz w:val="22"/>
                <w:szCs w:val="22"/>
              </w:rPr>
              <w:t>143</w:t>
            </w:r>
          </w:p>
        </w:tc>
        <w:tc>
          <w:tcPr>
            <w:tcW w:w="1417" w:type="dxa"/>
            <w:shd w:val="clear" w:color="auto" w:fill="E2EFD9" w:themeFill="accent6" w:themeFillTint="33"/>
          </w:tcPr>
          <w:p w14:paraId="4F89812F" w14:textId="77777777" w:rsidR="00FB6398" w:rsidRPr="00E30B31" w:rsidRDefault="00FB6398" w:rsidP="00FB6398">
            <w:pPr>
              <w:jc w:val="center"/>
              <w:rPr>
                <w:rFonts w:asciiTheme="minorHAnsi" w:eastAsia="Times New Roman" w:hAnsiTheme="minorHAnsi" w:cstheme="minorHAnsi"/>
                <w:b/>
                <w:color w:val="262626" w:themeColor="text1" w:themeTint="D9"/>
                <w:sz w:val="22"/>
                <w:szCs w:val="22"/>
              </w:rPr>
            </w:pPr>
            <w:r w:rsidRPr="00E30B31">
              <w:rPr>
                <w:rFonts w:asciiTheme="minorHAnsi" w:eastAsia="Times New Roman" w:hAnsiTheme="minorHAnsi" w:cstheme="minorHAnsi"/>
                <w:b/>
                <w:color w:val="262626" w:themeColor="text1" w:themeTint="D9"/>
                <w:sz w:val="22"/>
                <w:szCs w:val="22"/>
              </w:rPr>
              <w:t>0</w:t>
            </w:r>
          </w:p>
        </w:tc>
      </w:tr>
    </w:tbl>
    <w:p w14:paraId="1C8053A8" w14:textId="28074FEF" w:rsidR="00FB6398" w:rsidRPr="00E46DC8" w:rsidRDefault="00FB6398" w:rsidP="0032728C">
      <w:pPr>
        <w:autoSpaceDE w:val="0"/>
        <w:autoSpaceDN w:val="0"/>
        <w:adjustRightInd w:val="0"/>
        <w:spacing w:before="240" w:after="200" w:line="276" w:lineRule="auto"/>
        <w:ind w:right="-46"/>
        <w:jc w:val="center"/>
        <w:rPr>
          <w:szCs w:val="20"/>
        </w:rPr>
      </w:pPr>
      <w:r w:rsidRPr="00E46DC8">
        <w:rPr>
          <w:rFonts w:eastAsia="Calibri" w:cs="Calibri"/>
          <w:b/>
          <w:bCs/>
          <w:color w:val="000000" w:themeColor="text1"/>
          <w:sz w:val="20"/>
          <w:szCs w:val="20"/>
        </w:rPr>
        <w:t xml:space="preserve">Table </w:t>
      </w:r>
      <w:r w:rsidR="00B509B2">
        <w:rPr>
          <w:rFonts w:eastAsia="Calibri" w:cs="Calibri"/>
          <w:b/>
          <w:bCs/>
          <w:color w:val="000000" w:themeColor="text1"/>
          <w:sz w:val="20"/>
          <w:szCs w:val="20"/>
        </w:rPr>
        <w:t>10</w:t>
      </w:r>
      <w:r w:rsidRPr="00E46DC8">
        <w:rPr>
          <w:rFonts w:eastAsia="Calibri" w:cs="Calibri"/>
          <w:b/>
          <w:bCs/>
          <w:color w:val="000000" w:themeColor="text1"/>
          <w:sz w:val="20"/>
          <w:szCs w:val="20"/>
        </w:rPr>
        <w:t xml:space="preserve">: </w:t>
      </w:r>
      <w:r w:rsidRPr="00E46DC8">
        <w:rPr>
          <w:sz w:val="20"/>
          <w:szCs w:val="20"/>
        </w:rPr>
        <w:t>Net additional dwellings completed through non-residential to C3 residential changes of use 2020/21</w:t>
      </w:r>
    </w:p>
    <w:p w14:paraId="2227F808" w14:textId="0453EAC9" w:rsidR="00FB6398" w:rsidRPr="00B31179" w:rsidRDefault="35B8BBBA" w:rsidP="00983FDF">
      <w:pPr>
        <w:pStyle w:val="ListParagraph"/>
        <w:keepNext/>
        <w:numPr>
          <w:ilvl w:val="1"/>
          <w:numId w:val="11"/>
        </w:numPr>
        <w:spacing w:before="240" w:after="200" w:line="276" w:lineRule="auto"/>
        <w:ind w:hanging="502"/>
        <w:jc w:val="both"/>
        <w:rPr>
          <w:rFonts w:asciiTheme="minorHAnsi" w:hAnsiTheme="minorHAnsi" w:cstheme="minorHAnsi"/>
        </w:rPr>
      </w:pPr>
      <w:r w:rsidRPr="00B31179">
        <w:rPr>
          <w:rFonts w:asciiTheme="minorHAnsi" w:hAnsiTheme="minorHAnsi" w:cstheme="minorHAnsi"/>
        </w:rPr>
        <w:t>All of the dwellings delivered through changes of use from non-residential to residential in 2020/21 were market housing, with no additional affordable dwellings being delivered through this manner.  The majority of the change of use applications required full planning permission, with only one exception, former Nielsen House</w:t>
      </w:r>
      <w:r w:rsidR="00E30B31" w:rsidRPr="00B31179">
        <w:rPr>
          <w:rFonts w:asciiTheme="minorHAnsi" w:hAnsiTheme="minorHAnsi" w:cstheme="minorHAnsi"/>
        </w:rPr>
        <w:t xml:space="preserve">. </w:t>
      </w:r>
      <w:r w:rsidRPr="00B31179">
        <w:rPr>
          <w:rFonts w:asciiTheme="minorHAnsi" w:hAnsiTheme="minorHAnsi" w:cstheme="minorHAnsi"/>
        </w:rPr>
        <w:t xml:space="preserve"> Local Plan policies requiring affordable housing or financial contributions towards affordable housing cannot be applied in the determination of prior approval applications.</w:t>
      </w:r>
    </w:p>
    <w:p w14:paraId="7263020E" w14:textId="77777777" w:rsidR="00FB6398" w:rsidRPr="00432792" w:rsidRDefault="00FB6398" w:rsidP="00EC26A0">
      <w:pPr>
        <w:pStyle w:val="Heading2"/>
      </w:pPr>
      <w:bookmarkStart w:id="34" w:name="_Toc88135852"/>
      <w:r w:rsidRPr="00432792">
        <w:t>Student Accommodation and Housing Numbers</w:t>
      </w:r>
      <w:bookmarkEnd w:id="34"/>
    </w:p>
    <w:p w14:paraId="4DAB5D83" w14:textId="0EB9C8D3" w:rsidR="00B42B26"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In 2013/14 the Planning Practice Guidance (PPG) introduced that student accommodation can be counted in housing land supply figures. In July 2019, the PPG was updated and it states ‘All student accommodation, whether it consists of communal halls of residence or self-contained dwellings, and whether or not it is on campus, can in principle count towards contributing to an authority’s housing land supply, based on the amount of accommodation that new student housing releases into the wider housing market, and the extent to which it allows general market</w:t>
      </w:r>
      <w:r w:rsidR="00B31179">
        <w:rPr>
          <w:rFonts w:eastAsiaTheme="minorEastAsia"/>
        </w:rPr>
        <w:t xml:space="preserve"> housing to remain in such use.</w:t>
      </w:r>
      <w:r w:rsidR="00E30B31" w:rsidRPr="00B31179">
        <w:rPr>
          <w:rFonts w:eastAsiaTheme="minorEastAsia"/>
          <w:vertAlign w:val="superscript"/>
        </w:rPr>
        <w:footnoteReference w:id="6"/>
      </w:r>
      <w:r w:rsidRPr="0012619C">
        <w:rPr>
          <w:rFonts w:eastAsiaTheme="minorEastAsia"/>
        </w:rPr>
        <w:t xml:space="preserve"> In Oxford, where there are large numbers of students, provision of purpose-built student accommodation can have a significant impact on the housing market.</w:t>
      </w:r>
    </w:p>
    <w:p w14:paraId="12E9491A" w14:textId="142B2F0E" w:rsidR="00CA7EE1"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The question of the ‘amount of accommodation it releases in the market’ was not previously defined in the PPG and it was up to local authorities to determine based on local circumstances. Previously, it was assumed that developing five student rooms would release the equivalent of one dwelling in the housing market. For example, a site being proposed for 100 student rooms </w:t>
      </w:r>
      <w:r w:rsidR="532FAC78" w:rsidRPr="0012619C">
        <w:rPr>
          <w:rFonts w:eastAsiaTheme="minorEastAsia"/>
        </w:rPr>
        <w:t>was assessed</w:t>
      </w:r>
      <w:r w:rsidRPr="0012619C">
        <w:rPr>
          <w:rFonts w:eastAsiaTheme="minorEastAsia"/>
        </w:rPr>
        <w:t xml:space="preserve"> as delivering 20 equivalent ‘dwellings’ as those 100 students would have, on average, occupied 20 houses in the open market. Paragraph 10 of the Housing Delivery Test Measurement Rule Book published in July 2018 says that a ratio of 2.5 will now be applied to </w:t>
      </w:r>
      <w:r w:rsidRPr="0012619C">
        <w:rPr>
          <w:rFonts w:eastAsiaTheme="minorEastAsia"/>
        </w:rPr>
        <w:lastRenderedPageBreak/>
        <w:t>completions in order to complete the Housing Delivery Test measurement. The 2020 Housing Delivery test measurement</w:t>
      </w:r>
      <w:r w:rsidR="00E30B31" w:rsidRPr="00B31179">
        <w:rPr>
          <w:rFonts w:eastAsiaTheme="minorEastAsia"/>
          <w:vertAlign w:val="superscript"/>
        </w:rPr>
        <w:footnoteReference w:id="7"/>
      </w:r>
      <w:r w:rsidRPr="0012619C">
        <w:rPr>
          <w:rFonts w:eastAsiaTheme="minorEastAsia"/>
        </w:rPr>
        <w:t xml:space="preserve"> has applied this back to 2017/18 and therefore this is also reflected in Table </w:t>
      </w:r>
      <w:r w:rsidR="00E30B31" w:rsidRPr="0012619C">
        <w:rPr>
          <w:rFonts w:eastAsiaTheme="minorEastAsia"/>
        </w:rPr>
        <w:t>10</w:t>
      </w:r>
      <w:r w:rsidRPr="0012619C">
        <w:rPr>
          <w:rFonts w:eastAsiaTheme="minorEastAsia"/>
        </w:rPr>
        <w:t xml:space="preserve"> below which demonstrates the number of equivalent dwellings that has been calculated using the ratio applied to the number of student rooms completed since the start of the Local Plan period. </w:t>
      </w:r>
    </w:p>
    <w:p w14:paraId="0BB0D9A1" w14:textId="4A96D415" w:rsidR="00FB6398" w:rsidRPr="0012619C" w:rsidRDefault="35B8BBBA" w:rsidP="00983FDF">
      <w:pPr>
        <w:pStyle w:val="ListParagraph"/>
        <w:keepNext/>
        <w:numPr>
          <w:ilvl w:val="1"/>
          <w:numId w:val="11"/>
        </w:numPr>
        <w:spacing w:before="240" w:after="200" w:line="276" w:lineRule="auto"/>
        <w:ind w:hanging="502"/>
        <w:jc w:val="both"/>
        <w:rPr>
          <w:rFonts w:asciiTheme="minorHAnsi" w:hAnsiTheme="minorHAnsi" w:cstheme="minorHAnsi"/>
        </w:rPr>
      </w:pPr>
      <w:r w:rsidRPr="0012619C">
        <w:rPr>
          <w:rFonts w:asciiTheme="minorHAnsi" w:hAnsiTheme="minorHAnsi" w:cstheme="minorHAnsi"/>
        </w:rPr>
        <w:t>In the 2020/21 monitoring year 712 (net) units of student accommodation were completed in Oxford.  Using the ratio explained in the above paragraph, this equated to 285 C3 equivalent dwellings to Oxford’s housing market</w:t>
      </w:r>
      <w:r w:rsidR="77B19524" w:rsidRPr="0012619C">
        <w:rPr>
          <w:rFonts w:asciiTheme="minorHAnsi" w:hAnsiTheme="minorHAnsi" w:cstheme="minorHAnsi"/>
        </w:rPr>
        <w:t xml:space="preserve"> (Table 11)</w:t>
      </w:r>
      <w:r w:rsidRPr="0012619C">
        <w:rPr>
          <w:rFonts w:asciiTheme="minorHAnsi" w:hAnsiTheme="minorHAnsi" w:cstheme="minorHAnsi"/>
        </w:rPr>
        <w:t xml:space="preserve">.  This 285 figure is included within the 743 figure shown in Table </w:t>
      </w:r>
      <w:r w:rsidR="008079F0" w:rsidRPr="0012619C">
        <w:rPr>
          <w:rFonts w:asciiTheme="minorHAnsi" w:hAnsiTheme="minorHAnsi" w:cstheme="minorHAnsi"/>
        </w:rPr>
        <w:t>7</w:t>
      </w:r>
      <w:r w:rsidR="1D636CBA" w:rsidRPr="0012619C">
        <w:rPr>
          <w:rFonts w:asciiTheme="minorHAnsi" w:hAnsiTheme="minorHAnsi" w:cstheme="minorHAnsi"/>
        </w:rPr>
        <w:t xml:space="preserve"> above</w:t>
      </w:r>
      <w:r w:rsidRPr="0012619C">
        <w:rPr>
          <w:rFonts w:asciiTheme="minorHAnsi" w:hAnsiTheme="minorHAnsi" w:cstheme="minorHAnsi"/>
        </w:rPr>
        <w:t xml:space="preserve">.  </w:t>
      </w:r>
    </w:p>
    <w:tbl>
      <w:tblPr>
        <w:tblStyle w:val="TableGrid"/>
        <w:tblW w:w="0" w:type="auto"/>
        <w:jc w:val="center"/>
        <w:tblLook w:val="04A0" w:firstRow="1" w:lastRow="0" w:firstColumn="1" w:lastColumn="0" w:noHBand="0" w:noVBand="1"/>
      </w:tblPr>
      <w:tblGrid>
        <w:gridCol w:w="1270"/>
        <w:gridCol w:w="1701"/>
        <w:gridCol w:w="1270"/>
        <w:gridCol w:w="1701"/>
      </w:tblGrid>
      <w:tr w:rsidR="00FB6398" w:rsidRPr="00432792" w14:paraId="56BF4C00" w14:textId="77777777" w:rsidTr="005942C8">
        <w:trPr>
          <w:jc w:val="center"/>
        </w:trPr>
        <w:tc>
          <w:tcPr>
            <w:tcW w:w="1270" w:type="dxa"/>
          </w:tcPr>
          <w:p w14:paraId="1A99A5D2" w14:textId="77777777" w:rsidR="00FB6398" w:rsidRPr="008079F0" w:rsidRDefault="00FB6398" w:rsidP="00FB6398">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Monitoring Year</w:t>
            </w:r>
          </w:p>
        </w:tc>
        <w:tc>
          <w:tcPr>
            <w:tcW w:w="1701" w:type="dxa"/>
          </w:tcPr>
          <w:p w14:paraId="137B22D6" w14:textId="77777777" w:rsidR="00FB6398" w:rsidRPr="008079F0" w:rsidRDefault="00FB6398" w:rsidP="00FB6398">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Number of student rooms completed</w:t>
            </w:r>
          </w:p>
        </w:tc>
        <w:tc>
          <w:tcPr>
            <w:tcW w:w="1270" w:type="dxa"/>
          </w:tcPr>
          <w:p w14:paraId="75F43266" w14:textId="77777777" w:rsidR="00FB6398" w:rsidRPr="008079F0" w:rsidRDefault="00FB6398" w:rsidP="00FB6398">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Ratio Applied</w:t>
            </w:r>
          </w:p>
        </w:tc>
        <w:tc>
          <w:tcPr>
            <w:tcW w:w="1701" w:type="dxa"/>
          </w:tcPr>
          <w:p w14:paraId="343E57E9" w14:textId="77777777" w:rsidR="00FB6398" w:rsidRPr="008079F0" w:rsidRDefault="00FB6398" w:rsidP="00FB6398">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Number of equivalent ‘dwellings’</w:t>
            </w:r>
          </w:p>
        </w:tc>
      </w:tr>
      <w:tr w:rsidR="00FB6398" w:rsidRPr="00432792" w14:paraId="11127721" w14:textId="77777777" w:rsidTr="005942C8">
        <w:trPr>
          <w:jc w:val="center"/>
        </w:trPr>
        <w:tc>
          <w:tcPr>
            <w:tcW w:w="1270" w:type="dxa"/>
          </w:tcPr>
          <w:p w14:paraId="03D38B59"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2016/17</w:t>
            </w:r>
          </w:p>
        </w:tc>
        <w:tc>
          <w:tcPr>
            <w:tcW w:w="1701" w:type="dxa"/>
          </w:tcPr>
          <w:p w14:paraId="659585A9"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295</w:t>
            </w:r>
          </w:p>
        </w:tc>
        <w:tc>
          <w:tcPr>
            <w:tcW w:w="1270" w:type="dxa"/>
          </w:tcPr>
          <w:p w14:paraId="3435844E"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2.5:1</w:t>
            </w:r>
          </w:p>
        </w:tc>
        <w:tc>
          <w:tcPr>
            <w:tcW w:w="1701" w:type="dxa"/>
          </w:tcPr>
          <w:p w14:paraId="04216AFF"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118</w:t>
            </w:r>
          </w:p>
        </w:tc>
      </w:tr>
      <w:tr w:rsidR="00FB6398" w:rsidRPr="00432792" w14:paraId="1E3DC340" w14:textId="77777777" w:rsidTr="005942C8">
        <w:trPr>
          <w:jc w:val="center"/>
        </w:trPr>
        <w:tc>
          <w:tcPr>
            <w:tcW w:w="1270" w:type="dxa"/>
          </w:tcPr>
          <w:p w14:paraId="0C70F333"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2017/18</w:t>
            </w:r>
          </w:p>
        </w:tc>
        <w:tc>
          <w:tcPr>
            <w:tcW w:w="1701" w:type="dxa"/>
          </w:tcPr>
          <w:p w14:paraId="642EA692"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472</w:t>
            </w:r>
          </w:p>
        </w:tc>
        <w:tc>
          <w:tcPr>
            <w:tcW w:w="1270" w:type="dxa"/>
          </w:tcPr>
          <w:p w14:paraId="6CB90DF9"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2.5:1</w:t>
            </w:r>
          </w:p>
        </w:tc>
        <w:tc>
          <w:tcPr>
            <w:tcW w:w="1701" w:type="dxa"/>
          </w:tcPr>
          <w:p w14:paraId="1259E89E"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189</w:t>
            </w:r>
          </w:p>
        </w:tc>
      </w:tr>
      <w:tr w:rsidR="00FB6398" w:rsidRPr="00432792" w14:paraId="5951CB72" w14:textId="77777777" w:rsidTr="005942C8">
        <w:trPr>
          <w:jc w:val="center"/>
        </w:trPr>
        <w:tc>
          <w:tcPr>
            <w:tcW w:w="1270" w:type="dxa"/>
          </w:tcPr>
          <w:p w14:paraId="42783D86"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2018/19</w:t>
            </w:r>
          </w:p>
        </w:tc>
        <w:tc>
          <w:tcPr>
            <w:tcW w:w="1701" w:type="dxa"/>
          </w:tcPr>
          <w:p w14:paraId="19DD1E44"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183</w:t>
            </w:r>
          </w:p>
        </w:tc>
        <w:tc>
          <w:tcPr>
            <w:tcW w:w="1270" w:type="dxa"/>
          </w:tcPr>
          <w:p w14:paraId="52DECF59"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2.5:1</w:t>
            </w:r>
          </w:p>
        </w:tc>
        <w:tc>
          <w:tcPr>
            <w:tcW w:w="1701" w:type="dxa"/>
          </w:tcPr>
          <w:p w14:paraId="48C56F76"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73</w:t>
            </w:r>
          </w:p>
        </w:tc>
      </w:tr>
      <w:tr w:rsidR="00FB6398" w:rsidRPr="00432792" w14:paraId="16D490E0" w14:textId="77777777" w:rsidTr="005942C8">
        <w:trPr>
          <w:jc w:val="center"/>
        </w:trPr>
        <w:tc>
          <w:tcPr>
            <w:tcW w:w="1270" w:type="dxa"/>
          </w:tcPr>
          <w:p w14:paraId="31F6BC7E"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2019/2020</w:t>
            </w:r>
          </w:p>
        </w:tc>
        <w:tc>
          <w:tcPr>
            <w:tcW w:w="1701" w:type="dxa"/>
          </w:tcPr>
          <w:p w14:paraId="61A9ECB6"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1337</w:t>
            </w:r>
          </w:p>
        </w:tc>
        <w:tc>
          <w:tcPr>
            <w:tcW w:w="1270" w:type="dxa"/>
          </w:tcPr>
          <w:p w14:paraId="4EEAF222"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2.5:1</w:t>
            </w:r>
          </w:p>
        </w:tc>
        <w:tc>
          <w:tcPr>
            <w:tcW w:w="1701" w:type="dxa"/>
          </w:tcPr>
          <w:p w14:paraId="2657F166" w14:textId="77777777" w:rsidR="00FB6398" w:rsidRPr="00432792" w:rsidRDefault="00FB6398" w:rsidP="00FB639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535</w:t>
            </w:r>
          </w:p>
        </w:tc>
      </w:tr>
      <w:tr w:rsidR="00FB6398" w:rsidRPr="00432792" w14:paraId="3CFB2EA2" w14:textId="77777777" w:rsidTr="005942C8">
        <w:trPr>
          <w:jc w:val="center"/>
        </w:trPr>
        <w:tc>
          <w:tcPr>
            <w:tcW w:w="1270" w:type="dxa"/>
          </w:tcPr>
          <w:p w14:paraId="73C6AB67" w14:textId="77777777" w:rsidR="00FB6398" w:rsidRPr="008079F0" w:rsidRDefault="00FB6398" w:rsidP="00FB6398">
            <w:pPr>
              <w:pStyle w:val="Default"/>
              <w:spacing w:after="178"/>
              <w:jc w:val="center"/>
              <w:rPr>
                <w:rFonts w:asciiTheme="minorHAnsi" w:hAnsiTheme="minorHAnsi" w:cstheme="minorHAnsi"/>
                <w:b/>
                <w:sz w:val="20"/>
                <w:szCs w:val="20"/>
              </w:rPr>
            </w:pPr>
            <w:r w:rsidRPr="008079F0">
              <w:rPr>
                <w:rFonts w:asciiTheme="minorHAnsi" w:hAnsiTheme="minorHAnsi" w:cstheme="minorHAnsi"/>
                <w:b/>
                <w:sz w:val="20"/>
                <w:szCs w:val="20"/>
              </w:rPr>
              <w:t>2020/21</w:t>
            </w:r>
          </w:p>
        </w:tc>
        <w:tc>
          <w:tcPr>
            <w:tcW w:w="1701" w:type="dxa"/>
          </w:tcPr>
          <w:p w14:paraId="27AA79F1" w14:textId="77777777" w:rsidR="00FB6398" w:rsidRPr="008079F0" w:rsidRDefault="00FB6398" w:rsidP="00FB6398">
            <w:pPr>
              <w:pStyle w:val="Default"/>
              <w:spacing w:after="178"/>
              <w:jc w:val="center"/>
              <w:rPr>
                <w:rFonts w:asciiTheme="minorHAnsi" w:hAnsiTheme="minorHAnsi" w:cstheme="minorHAnsi"/>
                <w:b/>
                <w:sz w:val="20"/>
                <w:szCs w:val="20"/>
              </w:rPr>
            </w:pPr>
            <w:r w:rsidRPr="008079F0">
              <w:rPr>
                <w:rFonts w:asciiTheme="minorHAnsi" w:hAnsiTheme="minorHAnsi" w:cstheme="minorHAnsi"/>
                <w:b/>
                <w:sz w:val="20"/>
                <w:szCs w:val="20"/>
              </w:rPr>
              <w:t>712</w:t>
            </w:r>
          </w:p>
        </w:tc>
        <w:tc>
          <w:tcPr>
            <w:tcW w:w="1270" w:type="dxa"/>
          </w:tcPr>
          <w:p w14:paraId="5214DF34" w14:textId="77777777" w:rsidR="00FB6398" w:rsidRPr="008079F0" w:rsidRDefault="00FB6398" w:rsidP="00FB6398">
            <w:pPr>
              <w:pStyle w:val="Default"/>
              <w:spacing w:after="178"/>
              <w:jc w:val="center"/>
              <w:rPr>
                <w:rFonts w:asciiTheme="minorHAnsi" w:hAnsiTheme="minorHAnsi" w:cstheme="minorHAnsi"/>
                <w:b/>
                <w:sz w:val="20"/>
                <w:szCs w:val="20"/>
              </w:rPr>
            </w:pPr>
            <w:r w:rsidRPr="008079F0">
              <w:rPr>
                <w:rFonts w:asciiTheme="minorHAnsi" w:hAnsiTheme="minorHAnsi" w:cstheme="minorHAnsi"/>
                <w:b/>
                <w:sz w:val="20"/>
                <w:szCs w:val="20"/>
              </w:rPr>
              <w:t>2.5:1</w:t>
            </w:r>
          </w:p>
        </w:tc>
        <w:tc>
          <w:tcPr>
            <w:tcW w:w="1701" w:type="dxa"/>
          </w:tcPr>
          <w:p w14:paraId="05C3A0C4" w14:textId="77777777" w:rsidR="00FB6398" w:rsidRPr="008079F0" w:rsidRDefault="00FB6398" w:rsidP="00FB6398">
            <w:pPr>
              <w:pStyle w:val="Default"/>
              <w:spacing w:after="178"/>
              <w:jc w:val="center"/>
              <w:rPr>
                <w:rFonts w:asciiTheme="minorHAnsi" w:hAnsiTheme="minorHAnsi" w:cstheme="minorHAnsi"/>
                <w:b/>
                <w:sz w:val="20"/>
                <w:szCs w:val="20"/>
              </w:rPr>
            </w:pPr>
            <w:r w:rsidRPr="008079F0">
              <w:rPr>
                <w:rFonts w:asciiTheme="minorHAnsi" w:hAnsiTheme="minorHAnsi" w:cstheme="minorHAnsi"/>
                <w:b/>
                <w:sz w:val="20"/>
                <w:szCs w:val="20"/>
              </w:rPr>
              <w:t>285</w:t>
            </w:r>
          </w:p>
        </w:tc>
      </w:tr>
    </w:tbl>
    <w:p w14:paraId="4B47A524" w14:textId="46CFC17F" w:rsidR="0032728C" w:rsidRPr="00EC26A0" w:rsidRDefault="00FB6398" w:rsidP="0012619C">
      <w:pPr>
        <w:pStyle w:val="Default"/>
        <w:spacing w:before="240" w:after="240"/>
        <w:jc w:val="center"/>
        <w:rPr>
          <w:rFonts w:asciiTheme="minorHAnsi" w:hAnsiTheme="minorHAnsi" w:cstheme="minorBidi"/>
          <w:sz w:val="20"/>
          <w:szCs w:val="20"/>
        </w:rPr>
      </w:pPr>
      <w:r w:rsidRPr="00E46DC8">
        <w:rPr>
          <w:rFonts w:asciiTheme="minorHAnsi" w:hAnsiTheme="minorHAnsi" w:cstheme="minorBidi"/>
          <w:b/>
          <w:bCs/>
          <w:sz w:val="20"/>
          <w:szCs w:val="20"/>
        </w:rPr>
        <w:t xml:space="preserve">Table </w:t>
      </w:r>
      <w:r w:rsidR="00B509B2">
        <w:rPr>
          <w:rFonts w:asciiTheme="minorHAnsi" w:hAnsiTheme="minorHAnsi" w:cstheme="minorBidi"/>
          <w:b/>
          <w:bCs/>
          <w:sz w:val="20"/>
          <w:szCs w:val="20"/>
        </w:rPr>
        <w:t>11</w:t>
      </w:r>
      <w:r w:rsidRPr="00E46DC8">
        <w:rPr>
          <w:rFonts w:asciiTheme="minorHAnsi" w:hAnsiTheme="minorHAnsi" w:cstheme="minorBidi"/>
          <w:b/>
          <w:bCs/>
          <w:sz w:val="20"/>
          <w:szCs w:val="20"/>
        </w:rPr>
        <w:t xml:space="preserve">: </w:t>
      </w:r>
      <w:r w:rsidRPr="00E46DC8">
        <w:rPr>
          <w:rFonts w:asciiTheme="minorHAnsi" w:hAnsiTheme="minorHAnsi" w:cstheme="minorBidi"/>
          <w:sz w:val="20"/>
          <w:szCs w:val="20"/>
        </w:rPr>
        <w:t xml:space="preserve">Student housing completions and equivalent </w:t>
      </w:r>
      <w:r w:rsidR="0012619C">
        <w:rPr>
          <w:rFonts w:asciiTheme="minorHAnsi" w:hAnsiTheme="minorHAnsi" w:cstheme="minorBidi"/>
          <w:sz w:val="20"/>
          <w:szCs w:val="20"/>
        </w:rPr>
        <w:t>‘dwellings’ – 2016/17 – 2020/21</w:t>
      </w:r>
    </w:p>
    <w:p w14:paraId="01FE3E0E" w14:textId="77777777" w:rsidR="00FB6398" w:rsidRPr="00432792" w:rsidRDefault="00FB6398" w:rsidP="00EC26A0">
      <w:pPr>
        <w:pStyle w:val="Heading2"/>
      </w:pPr>
      <w:bookmarkStart w:id="35" w:name="_Toc88135853"/>
      <w:r w:rsidRPr="00432792">
        <w:t>Care Homes and Housing Numbers</w:t>
      </w:r>
      <w:bookmarkEnd w:id="35"/>
    </w:p>
    <w:p w14:paraId="52ACBB39" w14:textId="581EE155" w:rsidR="00CA7EE1"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In 2013/14 the PPG also introduced that care homes can be counted in housing land supply figures. This was reinforced in July 2019 when the guidance was updated to state: “Local planning authorities will need to count housing provided for older people, including residential institutions in Use Class C2, as par</w:t>
      </w:r>
      <w:r w:rsidR="00EC26A0" w:rsidRPr="0012619C">
        <w:rPr>
          <w:rFonts w:eastAsiaTheme="minorEastAsia"/>
        </w:rPr>
        <w:t>t of their housing land supply.</w:t>
      </w:r>
    </w:p>
    <w:p w14:paraId="72C114C4" w14:textId="04918C5C" w:rsidR="00CA7EE1"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The City Council has always counted housing for the elderly in its housing supply if it consists of C3 self-contained dwellings, i.e. a ratio of 1 to 1 has applied. The Guidance widens this to include potentially non self-contained C2 care home rooms as well. The Guidance does not provide any methodology as to how they should be counted. </w:t>
      </w:r>
    </w:p>
    <w:p w14:paraId="53CFB137" w14:textId="565D4B71" w:rsidR="00CA7EE1"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The ratio of 1.8:1 was introduced following the publication of the Housing Delivery Test Measurement Rule Book in July 2018</w:t>
      </w:r>
      <w:r w:rsidR="00FB6398" w:rsidRPr="00B31179">
        <w:rPr>
          <w:rFonts w:eastAsiaTheme="minorEastAsia"/>
          <w:vertAlign w:val="superscript"/>
        </w:rPr>
        <w:footnoteReference w:id="8"/>
      </w:r>
      <w:r w:rsidRPr="0012619C">
        <w:rPr>
          <w:rFonts w:eastAsiaTheme="minorEastAsia"/>
        </w:rPr>
        <w:t xml:space="preserve">. Paragraph 11 of this document infers that this ratio should be applied. Therefore where a residential care home is likely to be developed on a site, </w:t>
      </w:r>
      <w:r w:rsidRPr="0012619C">
        <w:rPr>
          <w:rFonts w:eastAsiaTheme="minorEastAsia"/>
        </w:rPr>
        <w:lastRenderedPageBreak/>
        <w:t xml:space="preserve">or where one has been completed, a 1.8:1 ratio of rooms to dwellings delivered will be applied for calculating housing supply. </w:t>
      </w:r>
    </w:p>
    <w:p w14:paraId="2DE460B5" w14:textId="5AEE5348" w:rsidR="000109E8"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In 2020/21 the only completed care home development was the loss of an 11 bed care home which was the subject of an approved planning application that permitted a change of use from use class C2 to a single dwelling, use class C3.  Using the ratio explained in the above paragraph, this equated to a loss of 6 C3 equivalent dwellings to Oxford’s housing market</w:t>
      </w:r>
      <w:r w:rsidR="008079F0" w:rsidRPr="0012619C">
        <w:rPr>
          <w:rFonts w:eastAsiaTheme="minorEastAsia"/>
        </w:rPr>
        <w:t xml:space="preserve"> (Table </w:t>
      </w:r>
      <w:r w:rsidR="00B509B2" w:rsidRPr="0012619C">
        <w:rPr>
          <w:rFonts w:eastAsiaTheme="minorEastAsia"/>
        </w:rPr>
        <w:t>12</w:t>
      </w:r>
      <w:r w:rsidR="6F95FD09" w:rsidRPr="0012619C">
        <w:rPr>
          <w:rFonts w:eastAsiaTheme="minorEastAsia"/>
        </w:rPr>
        <w:t>)</w:t>
      </w:r>
      <w:r w:rsidRPr="0012619C">
        <w:rPr>
          <w:rFonts w:eastAsiaTheme="minorEastAsia"/>
        </w:rPr>
        <w:t xml:space="preserve">.  This figure is included within the 743 figure shown in Table </w:t>
      </w:r>
      <w:r w:rsidR="008079F0" w:rsidRPr="0012619C">
        <w:rPr>
          <w:rFonts w:eastAsiaTheme="minorEastAsia"/>
        </w:rPr>
        <w:t>7</w:t>
      </w:r>
      <w:r w:rsidRPr="0012619C">
        <w:rPr>
          <w:rFonts w:eastAsiaTheme="minorEastAsia"/>
        </w:rPr>
        <w:t xml:space="preserve"> above. The gain of the C3 dwelling is also included in the 743 figure.  </w:t>
      </w:r>
    </w:p>
    <w:tbl>
      <w:tblPr>
        <w:tblStyle w:val="TableGrid"/>
        <w:tblW w:w="0" w:type="auto"/>
        <w:tblInd w:w="988" w:type="dxa"/>
        <w:tblLook w:val="04A0" w:firstRow="1" w:lastRow="0" w:firstColumn="1" w:lastColumn="0" w:noHBand="0" w:noVBand="1"/>
      </w:tblPr>
      <w:tblGrid>
        <w:gridCol w:w="1842"/>
        <w:gridCol w:w="1642"/>
        <w:gridCol w:w="1619"/>
        <w:gridCol w:w="1984"/>
      </w:tblGrid>
      <w:tr w:rsidR="00FB6398" w:rsidRPr="00432792" w14:paraId="32AADEAE" w14:textId="77777777" w:rsidTr="000109E8">
        <w:tc>
          <w:tcPr>
            <w:tcW w:w="1842" w:type="dxa"/>
          </w:tcPr>
          <w:p w14:paraId="061EF735" w14:textId="768B6878" w:rsidR="00FB6398" w:rsidRPr="008079F0" w:rsidRDefault="00D97152" w:rsidP="000109E8">
            <w:pPr>
              <w:pStyle w:val="Default"/>
              <w:spacing w:after="178"/>
              <w:jc w:val="center"/>
              <w:rPr>
                <w:rFonts w:asciiTheme="minorHAnsi" w:hAnsiTheme="minorHAnsi" w:cstheme="minorHAnsi"/>
                <w:b/>
                <w:sz w:val="20"/>
                <w:szCs w:val="20"/>
                <w:u w:val="single"/>
              </w:rPr>
            </w:pPr>
            <w:r>
              <w:br w:type="page"/>
            </w:r>
            <w:r w:rsidR="00FB6398" w:rsidRPr="008079F0">
              <w:rPr>
                <w:rFonts w:asciiTheme="minorHAnsi" w:hAnsiTheme="minorHAnsi" w:cstheme="minorHAnsi"/>
                <w:b/>
                <w:sz w:val="20"/>
                <w:szCs w:val="20"/>
                <w:u w:val="single"/>
              </w:rPr>
              <w:t>Monitoring Year</w:t>
            </w:r>
          </w:p>
        </w:tc>
        <w:tc>
          <w:tcPr>
            <w:tcW w:w="1642" w:type="dxa"/>
          </w:tcPr>
          <w:p w14:paraId="6CFE7036" w14:textId="77777777" w:rsidR="00FB6398" w:rsidRPr="008079F0" w:rsidRDefault="00FB6398" w:rsidP="000109E8">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Number of care rooms completed</w:t>
            </w:r>
          </w:p>
        </w:tc>
        <w:tc>
          <w:tcPr>
            <w:tcW w:w="1619" w:type="dxa"/>
          </w:tcPr>
          <w:p w14:paraId="7823BE27" w14:textId="77777777" w:rsidR="00FB6398" w:rsidRPr="008079F0" w:rsidRDefault="00FB6398" w:rsidP="000109E8">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Ratio Applied</w:t>
            </w:r>
          </w:p>
        </w:tc>
        <w:tc>
          <w:tcPr>
            <w:tcW w:w="1984" w:type="dxa"/>
          </w:tcPr>
          <w:p w14:paraId="0E42C5CC" w14:textId="77777777" w:rsidR="00FB6398" w:rsidRPr="008079F0" w:rsidRDefault="00FB6398" w:rsidP="000109E8">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Number of equivalent ‘dwellings’</w:t>
            </w:r>
          </w:p>
        </w:tc>
      </w:tr>
      <w:tr w:rsidR="00FB6398" w:rsidRPr="00432792" w14:paraId="3632FFC5" w14:textId="77777777" w:rsidTr="000109E8">
        <w:tc>
          <w:tcPr>
            <w:tcW w:w="1842" w:type="dxa"/>
          </w:tcPr>
          <w:p w14:paraId="602D7C32"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2016/17</w:t>
            </w:r>
          </w:p>
        </w:tc>
        <w:tc>
          <w:tcPr>
            <w:tcW w:w="1642" w:type="dxa"/>
          </w:tcPr>
          <w:p w14:paraId="4C0272D7"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-6</w:t>
            </w:r>
          </w:p>
        </w:tc>
        <w:tc>
          <w:tcPr>
            <w:tcW w:w="1619" w:type="dxa"/>
          </w:tcPr>
          <w:p w14:paraId="14FC726E"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1.8:1</w:t>
            </w:r>
          </w:p>
        </w:tc>
        <w:tc>
          <w:tcPr>
            <w:tcW w:w="1984" w:type="dxa"/>
          </w:tcPr>
          <w:p w14:paraId="33BEB503"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-3</w:t>
            </w:r>
          </w:p>
        </w:tc>
      </w:tr>
      <w:tr w:rsidR="00FB6398" w:rsidRPr="00432792" w14:paraId="7B1F3D2B" w14:textId="77777777" w:rsidTr="000109E8">
        <w:tc>
          <w:tcPr>
            <w:tcW w:w="1842" w:type="dxa"/>
          </w:tcPr>
          <w:p w14:paraId="5D8AED93"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2017/18</w:t>
            </w:r>
          </w:p>
        </w:tc>
        <w:tc>
          <w:tcPr>
            <w:tcW w:w="1642" w:type="dxa"/>
          </w:tcPr>
          <w:p w14:paraId="35C90568"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0</w:t>
            </w:r>
          </w:p>
        </w:tc>
        <w:tc>
          <w:tcPr>
            <w:tcW w:w="1619" w:type="dxa"/>
          </w:tcPr>
          <w:p w14:paraId="7BE13AEC"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1.8:1</w:t>
            </w:r>
          </w:p>
        </w:tc>
        <w:tc>
          <w:tcPr>
            <w:tcW w:w="1984" w:type="dxa"/>
          </w:tcPr>
          <w:p w14:paraId="0A9E6F44"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0</w:t>
            </w:r>
          </w:p>
        </w:tc>
      </w:tr>
      <w:tr w:rsidR="00FB6398" w:rsidRPr="00432792" w14:paraId="09DFC568" w14:textId="77777777" w:rsidTr="000109E8">
        <w:tc>
          <w:tcPr>
            <w:tcW w:w="1842" w:type="dxa"/>
          </w:tcPr>
          <w:p w14:paraId="787AA709"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2018/19</w:t>
            </w:r>
          </w:p>
        </w:tc>
        <w:tc>
          <w:tcPr>
            <w:tcW w:w="1642" w:type="dxa"/>
          </w:tcPr>
          <w:p w14:paraId="1466ED66"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36</w:t>
            </w:r>
          </w:p>
        </w:tc>
        <w:tc>
          <w:tcPr>
            <w:tcW w:w="1619" w:type="dxa"/>
          </w:tcPr>
          <w:p w14:paraId="4BAE0F89"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1.8:1</w:t>
            </w:r>
          </w:p>
        </w:tc>
        <w:tc>
          <w:tcPr>
            <w:tcW w:w="1984" w:type="dxa"/>
          </w:tcPr>
          <w:p w14:paraId="6F96DE6C"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w:t>
            </w:r>
          </w:p>
        </w:tc>
      </w:tr>
      <w:tr w:rsidR="00FB6398" w:rsidRPr="00432792" w14:paraId="6597B715" w14:textId="77777777" w:rsidTr="000109E8">
        <w:tc>
          <w:tcPr>
            <w:tcW w:w="1842" w:type="dxa"/>
          </w:tcPr>
          <w:p w14:paraId="68A4D71C"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2019/2020</w:t>
            </w:r>
          </w:p>
        </w:tc>
        <w:tc>
          <w:tcPr>
            <w:tcW w:w="1642" w:type="dxa"/>
          </w:tcPr>
          <w:p w14:paraId="16DD2D15"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48</w:t>
            </w:r>
          </w:p>
        </w:tc>
        <w:tc>
          <w:tcPr>
            <w:tcW w:w="1619" w:type="dxa"/>
          </w:tcPr>
          <w:p w14:paraId="3E174549"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1.8:1</w:t>
            </w:r>
          </w:p>
        </w:tc>
        <w:tc>
          <w:tcPr>
            <w:tcW w:w="1984" w:type="dxa"/>
          </w:tcPr>
          <w:p w14:paraId="1DC9E660" w14:textId="77777777" w:rsidR="00FB6398" w:rsidRPr="00432792" w:rsidRDefault="00FB6398" w:rsidP="000109E8">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27</w:t>
            </w:r>
          </w:p>
        </w:tc>
      </w:tr>
      <w:tr w:rsidR="00FB6398" w:rsidRPr="00432792" w14:paraId="0A7A8AF0" w14:textId="77777777" w:rsidTr="000109E8">
        <w:tc>
          <w:tcPr>
            <w:tcW w:w="1842" w:type="dxa"/>
          </w:tcPr>
          <w:p w14:paraId="0857820A" w14:textId="77777777" w:rsidR="00FB6398" w:rsidRPr="008079F0" w:rsidRDefault="00FB6398" w:rsidP="000109E8">
            <w:pPr>
              <w:pStyle w:val="Default"/>
              <w:spacing w:after="178"/>
              <w:jc w:val="center"/>
              <w:rPr>
                <w:rFonts w:asciiTheme="minorHAnsi" w:hAnsiTheme="minorHAnsi" w:cstheme="minorHAnsi"/>
                <w:b/>
                <w:sz w:val="20"/>
                <w:szCs w:val="20"/>
              </w:rPr>
            </w:pPr>
            <w:r w:rsidRPr="008079F0">
              <w:rPr>
                <w:rFonts w:asciiTheme="minorHAnsi" w:hAnsiTheme="minorHAnsi" w:cstheme="minorHAnsi"/>
                <w:b/>
                <w:sz w:val="20"/>
                <w:szCs w:val="20"/>
              </w:rPr>
              <w:t>2020/21</w:t>
            </w:r>
          </w:p>
        </w:tc>
        <w:tc>
          <w:tcPr>
            <w:tcW w:w="1642" w:type="dxa"/>
          </w:tcPr>
          <w:p w14:paraId="20247235" w14:textId="77777777" w:rsidR="00FB6398" w:rsidRPr="008079F0" w:rsidRDefault="00FB6398" w:rsidP="000109E8">
            <w:pPr>
              <w:pStyle w:val="Default"/>
              <w:spacing w:after="178"/>
              <w:jc w:val="center"/>
              <w:rPr>
                <w:rFonts w:asciiTheme="minorHAnsi" w:hAnsiTheme="minorHAnsi" w:cstheme="minorHAnsi"/>
                <w:b/>
                <w:sz w:val="20"/>
                <w:szCs w:val="20"/>
              </w:rPr>
            </w:pPr>
            <w:r w:rsidRPr="008079F0">
              <w:rPr>
                <w:rFonts w:asciiTheme="minorHAnsi" w:hAnsiTheme="minorHAnsi" w:cstheme="minorHAnsi"/>
                <w:b/>
                <w:sz w:val="20"/>
                <w:szCs w:val="20"/>
              </w:rPr>
              <w:t>-11</w:t>
            </w:r>
          </w:p>
        </w:tc>
        <w:tc>
          <w:tcPr>
            <w:tcW w:w="1619" w:type="dxa"/>
          </w:tcPr>
          <w:p w14:paraId="313E140D" w14:textId="77777777" w:rsidR="00FB6398" w:rsidRPr="008079F0" w:rsidRDefault="00FB6398" w:rsidP="000109E8">
            <w:pPr>
              <w:pStyle w:val="Default"/>
              <w:spacing w:after="178"/>
              <w:jc w:val="center"/>
              <w:rPr>
                <w:rFonts w:asciiTheme="minorHAnsi" w:hAnsiTheme="minorHAnsi" w:cstheme="minorHAnsi"/>
                <w:b/>
                <w:sz w:val="20"/>
                <w:szCs w:val="20"/>
              </w:rPr>
            </w:pPr>
            <w:r w:rsidRPr="008079F0">
              <w:rPr>
                <w:rFonts w:asciiTheme="minorHAnsi" w:hAnsiTheme="minorHAnsi" w:cstheme="minorHAnsi"/>
                <w:b/>
                <w:sz w:val="20"/>
                <w:szCs w:val="20"/>
              </w:rPr>
              <w:t>1.8:1</w:t>
            </w:r>
          </w:p>
        </w:tc>
        <w:tc>
          <w:tcPr>
            <w:tcW w:w="1984" w:type="dxa"/>
          </w:tcPr>
          <w:p w14:paraId="3594046D" w14:textId="77777777" w:rsidR="00FB6398" w:rsidRPr="008079F0" w:rsidRDefault="00FB6398" w:rsidP="000109E8">
            <w:pPr>
              <w:pStyle w:val="Default"/>
              <w:spacing w:after="178"/>
              <w:jc w:val="center"/>
              <w:rPr>
                <w:rFonts w:asciiTheme="minorHAnsi" w:hAnsiTheme="minorHAnsi" w:cstheme="minorHAnsi"/>
                <w:b/>
                <w:sz w:val="20"/>
                <w:szCs w:val="20"/>
              </w:rPr>
            </w:pPr>
            <w:r w:rsidRPr="008079F0">
              <w:rPr>
                <w:rFonts w:asciiTheme="minorHAnsi" w:hAnsiTheme="minorHAnsi" w:cstheme="minorHAnsi"/>
                <w:b/>
                <w:sz w:val="20"/>
                <w:szCs w:val="20"/>
              </w:rPr>
              <w:t>-6</w:t>
            </w:r>
          </w:p>
        </w:tc>
      </w:tr>
    </w:tbl>
    <w:p w14:paraId="12101BEA" w14:textId="45847EC4" w:rsidR="0032728C" w:rsidRPr="0012619C" w:rsidRDefault="00FB6398" w:rsidP="0032728C">
      <w:pPr>
        <w:spacing w:before="240"/>
        <w:jc w:val="center"/>
        <w:rPr>
          <w:sz w:val="20"/>
          <w:szCs w:val="20"/>
        </w:rPr>
      </w:pPr>
      <w:r w:rsidRPr="00E46DC8">
        <w:rPr>
          <w:b/>
          <w:bCs/>
          <w:sz w:val="20"/>
          <w:szCs w:val="20"/>
        </w:rPr>
        <w:t xml:space="preserve">Table </w:t>
      </w:r>
      <w:r w:rsidR="00B509B2">
        <w:rPr>
          <w:b/>
          <w:bCs/>
          <w:sz w:val="20"/>
          <w:szCs w:val="20"/>
        </w:rPr>
        <w:t>12</w:t>
      </w:r>
      <w:r w:rsidRPr="00E46DC8">
        <w:rPr>
          <w:sz w:val="20"/>
          <w:szCs w:val="20"/>
        </w:rPr>
        <w:t>: Care home completions and equivalent ‘dwellings’ – 2016/17 – 202</w:t>
      </w:r>
      <w:r w:rsidR="0012619C">
        <w:rPr>
          <w:sz w:val="20"/>
          <w:szCs w:val="20"/>
        </w:rPr>
        <w:t>0/21</w:t>
      </w:r>
    </w:p>
    <w:p w14:paraId="34C2B37A" w14:textId="77777777" w:rsidR="00FB6398" w:rsidRPr="00432792" w:rsidRDefault="00FB6398" w:rsidP="00FB6398">
      <w:pPr>
        <w:pStyle w:val="Heading2"/>
      </w:pPr>
      <w:bookmarkStart w:id="36" w:name="_Toc88135854"/>
      <w:r w:rsidRPr="00432792">
        <w:t>Housing Permissions</w:t>
      </w:r>
      <w:bookmarkEnd w:id="36"/>
    </w:p>
    <w:p w14:paraId="16F9ACE5" w14:textId="5EA9B469" w:rsidR="00CA7EE1"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Whilst housing completions are important for considering housing supply and delivery, they only show part of the picture. It is also relevant to consider planning permissions to understand the number of dwellings that t</w:t>
      </w:r>
      <w:r w:rsidR="278EDF3B" w:rsidRPr="0012619C">
        <w:rPr>
          <w:rFonts w:eastAsiaTheme="minorEastAsia"/>
        </w:rPr>
        <w:t>he City Council is permitting.</w:t>
      </w:r>
    </w:p>
    <w:p w14:paraId="0FA5AB2A" w14:textId="6B8BB1B8" w:rsidR="00EC26A0"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Table </w:t>
      </w:r>
      <w:r w:rsidR="0B117D1F" w:rsidRPr="0012619C">
        <w:rPr>
          <w:rFonts w:eastAsiaTheme="minorEastAsia"/>
        </w:rPr>
        <w:t>1</w:t>
      </w:r>
      <w:r w:rsidR="000109E8" w:rsidRPr="0012619C">
        <w:rPr>
          <w:rFonts w:eastAsiaTheme="minorEastAsia"/>
        </w:rPr>
        <w:t>3</w:t>
      </w:r>
      <w:r w:rsidRPr="0012619C">
        <w:rPr>
          <w:rFonts w:eastAsiaTheme="minorEastAsia"/>
        </w:rPr>
        <w:t xml:space="preserve"> shows C3 self-contained dwellings permitted (net) since the start of the Local Plan period. This takes into account C3 dwellings gained and lost through new build completions, demolitions, changes of use and conversions. It includes outline permissions but excludes these where reserved matters have subsequently been permit</w:t>
      </w:r>
      <w:r w:rsidR="00EC26A0" w:rsidRPr="0012619C">
        <w:rPr>
          <w:rFonts w:eastAsiaTheme="minorEastAsia"/>
        </w:rPr>
        <w:t xml:space="preserve">ted to avoid double counting.  </w:t>
      </w:r>
    </w:p>
    <w:tbl>
      <w:tblPr>
        <w:tblStyle w:val="TableGrid"/>
        <w:tblW w:w="0" w:type="auto"/>
        <w:tblInd w:w="1271" w:type="dxa"/>
        <w:tblLook w:val="04A0" w:firstRow="1" w:lastRow="0" w:firstColumn="1" w:lastColumn="0" w:noHBand="0" w:noVBand="1"/>
      </w:tblPr>
      <w:tblGrid>
        <w:gridCol w:w="2126"/>
        <w:gridCol w:w="3544"/>
      </w:tblGrid>
      <w:tr w:rsidR="00EC26A0" w:rsidRPr="00432792" w14:paraId="0C7877FF" w14:textId="77777777" w:rsidTr="00397B49">
        <w:tc>
          <w:tcPr>
            <w:tcW w:w="2126" w:type="dxa"/>
          </w:tcPr>
          <w:p w14:paraId="2CA81BDA"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b/>
                <w:sz w:val="20"/>
                <w:szCs w:val="20"/>
              </w:rPr>
            </w:pPr>
            <w:r w:rsidRPr="00432792">
              <w:rPr>
                <w:rFonts w:eastAsia="Calibri" w:cstheme="minorHAnsi"/>
                <w:b/>
                <w:sz w:val="20"/>
                <w:szCs w:val="20"/>
              </w:rPr>
              <w:t>Year</w:t>
            </w:r>
          </w:p>
        </w:tc>
        <w:tc>
          <w:tcPr>
            <w:tcW w:w="3544" w:type="dxa"/>
          </w:tcPr>
          <w:p w14:paraId="48414ECA"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b/>
                <w:sz w:val="20"/>
                <w:szCs w:val="20"/>
              </w:rPr>
            </w:pPr>
            <w:r w:rsidRPr="00432792">
              <w:rPr>
                <w:rFonts w:eastAsia="Calibri" w:cstheme="minorHAnsi"/>
                <w:b/>
                <w:sz w:val="20"/>
                <w:szCs w:val="20"/>
              </w:rPr>
              <w:t>Dwellings permitted (net)</w:t>
            </w:r>
          </w:p>
        </w:tc>
      </w:tr>
      <w:tr w:rsidR="00EC26A0" w:rsidRPr="00432792" w14:paraId="741EA537" w14:textId="77777777" w:rsidTr="00397B49">
        <w:tc>
          <w:tcPr>
            <w:tcW w:w="2126" w:type="dxa"/>
          </w:tcPr>
          <w:p w14:paraId="04A03899"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sz w:val="20"/>
                <w:szCs w:val="20"/>
              </w:rPr>
            </w:pPr>
            <w:r w:rsidRPr="00432792">
              <w:rPr>
                <w:rFonts w:eastAsia="Calibri" w:cstheme="minorHAnsi"/>
                <w:sz w:val="20"/>
                <w:szCs w:val="20"/>
              </w:rPr>
              <w:t>2016/17</w:t>
            </w:r>
          </w:p>
        </w:tc>
        <w:tc>
          <w:tcPr>
            <w:tcW w:w="3544" w:type="dxa"/>
          </w:tcPr>
          <w:p w14:paraId="11A7F996"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sz w:val="20"/>
                <w:szCs w:val="20"/>
              </w:rPr>
            </w:pPr>
            <w:r w:rsidRPr="00432792">
              <w:rPr>
                <w:rFonts w:eastAsia="Calibri" w:cstheme="minorHAnsi"/>
                <w:sz w:val="20"/>
                <w:szCs w:val="20"/>
              </w:rPr>
              <w:t>304</w:t>
            </w:r>
          </w:p>
        </w:tc>
      </w:tr>
      <w:tr w:rsidR="00EC26A0" w:rsidRPr="00432792" w14:paraId="5F719086" w14:textId="77777777" w:rsidTr="00397B49">
        <w:tc>
          <w:tcPr>
            <w:tcW w:w="2126" w:type="dxa"/>
          </w:tcPr>
          <w:p w14:paraId="56B511E2"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sz w:val="20"/>
                <w:szCs w:val="20"/>
              </w:rPr>
            </w:pPr>
            <w:r w:rsidRPr="00432792">
              <w:rPr>
                <w:rFonts w:eastAsia="Calibri" w:cstheme="minorHAnsi"/>
                <w:sz w:val="20"/>
                <w:szCs w:val="20"/>
              </w:rPr>
              <w:t>2017/18</w:t>
            </w:r>
          </w:p>
        </w:tc>
        <w:tc>
          <w:tcPr>
            <w:tcW w:w="3544" w:type="dxa"/>
          </w:tcPr>
          <w:p w14:paraId="7B7C024F"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sz w:val="20"/>
                <w:szCs w:val="20"/>
              </w:rPr>
            </w:pPr>
            <w:r w:rsidRPr="00432792">
              <w:rPr>
                <w:rFonts w:eastAsia="Calibri" w:cstheme="minorHAnsi"/>
                <w:sz w:val="20"/>
                <w:szCs w:val="20"/>
              </w:rPr>
              <w:t>524</w:t>
            </w:r>
          </w:p>
        </w:tc>
      </w:tr>
      <w:tr w:rsidR="00EC26A0" w:rsidRPr="00432792" w14:paraId="7B0DCAE0" w14:textId="77777777" w:rsidTr="00397B49">
        <w:tc>
          <w:tcPr>
            <w:tcW w:w="2126" w:type="dxa"/>
          </w:tcPr>
          <w:p w14:paraId="22C26063"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sz w:val="20"/>
                <w:szCs w:val="20"/>
              </w:rPr>
            </w:pPr>
            <w:r w:rsidRPr="00432792">
              <w:rPr>
                <w:rFonts w:eastAsia="Calibri" w:cstheme="minorHAnsi"/>
                <w:sz w:val="20"/>
                <w:szCs w:val="20"/>
              </w:rPr>
              <w:t>2018/19</w:t>
            </w:r>
          </w:p>
        </w:tc>
        <w:tc>
          <w:tcPr>
            <w:tcW w:w="3544" w:type="dxa"/>
          </w:tcPr>
          <w:p w14:paraId="15F88B89"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sz w:val="20"/>
                <w:szCs w:val="20"/>
              </w:rPr>
            </w:pPr>
            <w:r w:rsidRPr="00432792">
              <w:rPr>
                <w:rFonts w:eastAsia="Calibri" w:cstheme="minorHAnsi"/>
                <w:sz w:val="20"/>
                <w:szCs w:val="20"/>
              </w:rPr>
              <w:t>504</w:t>
            </w:r>
          </w:p>
        </w:tc>
      </w:tr>
      <w:tr w:rsidR="00EC26A0" w:rsidRPr="00432792" w14:paraId="490DA3D8" w14:textId="77777777" w:rsidTr="00397B49">
        <w:tc>
          <w:tcPr>
            <w:tcW w:w="2126" w:type="dxa"/>
          </w:tcPr>
          <w:p w14:paraId="5B2CF7D9"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sz w:val="20"/>
                <w:szCs w:val="20"/>
              </w:rPr>
            </w:pPr>
            <w:r w:rsidRPr="00432792">
              <w:rPr>
                <w:rFonts w:eastAsia="Calibri" w:cstheme="minorHAnsi"/>
                <w:sz w:val="20"/>
                <w:szCs w:val="20"/>
              </w:rPr>
              <w:t>2019/20</w:t>
            </w:r>
          </w:p>
        </w:tc>
        <w:tc>
          <w:tcPr>
            <w:tcW w:w="3544" w:type="dxa"/>
          </w:tcPr>
          <w:p w14:paraId="672D1F10"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sz w:val="20"/>
                <w:szCs w:val="20"/>
              </w:rPr>
            </w:pPr>
            <w:r w:rsidRPr="00432792">
              <w:rPr>
                <w:rFonts w:eastAsia="Calibri" w:cstheme="minorHAnsi"/>
                <w:sz w:val="20"/>
                <w:szCs w:val="20"/>
              </w:rPr>
              <w:t>277</w:t>
            </w:r>
          </w:p>
        </w:tc>
      </w:tr>
      <w:tr w:rsidR="00EC26A0" w:rsidRPr="00432792" w14:paraId="0A370AB1" w14:textId="77777777" w:rsidTr="00397B49">
        <w:tc>
          <w:tcPr>
            <w:tcW w:w="2126" w:type="dxa"/>
          </w:tcPr>
          <w:p w14:paraId="2B53790D" w14:textId="77777777" w:rsidR="00EC26A0" w:rsidRPr="008079F0" w:rsidRDefault="00EC26A0" w:rsidP="00397B49">
            <w:pPr>
              <w:tabs>
                <w:tab w:val="left" w:pos="8931"/>
              </w:tabs>
              <w:autoSpaceDE w:val="0"/>
              <w:autoSpaceDN w:val="0"/>
              <w:adjustRightInd w:val="0"/>
              <w:spacing w:after="200" w:line="276" w:lineRule="auto"/>
              <w:ind w:right="-46"/>
              <w:jc w:val="center"/>
              <w:rPr>
                <w:rFonts w:eastAsia="Calibri" w:cstheme="minorHAnsi"/>
                <w:b/>
                <w:sz w:val="20"/>
                <w:szCs w:val="20"/>
              </w:rPr>
            </w:pPr>
            <w:r w:rsidRPr="008079F0">
              <w:rPr>
                <w:rFonts w:eastAsia="Calibri" w:cstheme="minorHAnsi"/>
                <w:b/>
                <w:sz w:val="20"/>
                <w:szCs w:val="20"/>
              </w:rPr>
              <w:t>2020/21</w:t>
            </w:r>
          </w:p>
        </w:tc>
        <w:tc>
          <w:tcPr>
            <w:tcW w:w="3544" w:type="dxa"/>
          </w:tcPr>
          <w:p w14:paraId="3C57AA8F" w14:textId="77777777" w:rsidR="00EC26A0" w:rsidRPr="008079F0" w:rsidRDefault="00EC26A0" w:rsidP="00397B49">
            <w:pPr>
              <w:tabs>
                <w:tab w:val="left" w:pos="8931"/>
              </w:tabs>
              <w:autoSpaceDE w:val="0"/>
              <w:autoSpaceDN w:val="0"/>
              <w:adjustRightInd w:val="0"/>
              <w:spacing w:after="200" w:line="276" w:lineRule="auto"/>
              <w:ind w:right="-46"/>
              <w:jc w:val="center"/>
              <w:rPr>
                <w:rFonts w:eastAsia="Calibri" w:cstheme="minorHAnsi"/>
                <w:b/>
                <w:sz w:val="20"/>
                <w:szCs w:val="20"/>
              </w:rPr>
            </w:pPr>
            <w:r w:rsidRPr="008079F0">
              <w:rPr>
                <w:rFonts w:eastAsia="Calibri" w:cstheme="minorHAnsi"/>
                <w:b/>
                <w:sz w:val="20"/>
                <w:szCs w:val="20"/>
              </w:rPr>
              <w:t>278</w:t>
            </w:r>
          </w:p>
        </w:tc>
      </w:tr>
      <w:tr w:rsidR="00EC26A0" w:rsidRPr="00432792" w14:paraId="39F7FF0E" w14:textId="77777777" w:rsidTr="00397B49">
        <w:tc>
          <w:tcPr>
            <w:tcW w:w="2126" w:type="dxa"/>
          </w:tcPr>
          <w:p w14:paraId="7CA1DA80"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b/>
                <w:sz w:val="20"/>
                <w:szCs w:val="20"/>
              </w:rPr>
            </w:pPr>
            <w:r w:rsidRPr="00432792">
              <w:rPr>
                <w:rFonts w:eastAsia="Calibri" w:cstheme="minorHAnsi"/>
                <w:b/>
                <w:sz w:val="20"/>
                <w:szCs w:val="20"/>
              </w:rPr>
              <w:t>TOTAL</w:t>
            </w:r>
          </w:p>
        </w:tc>
        <w:tc>
          <w:tcPr>
            <w:tcW w:w="3544" w:type="dxa"/>
          </w:tcPr>
          <w:p w14:paraId="68485529" w14:textId="77777777" w:rsidR="00EC26A0" w:rsidRPr="00432792" w:rsidRDefault="00EC26A0" w:rsidP="00397B49">
            <w:pPr>
              <w:tabs>
                <w:tab w:val="left" w:pos="8931"/>
              </w:tabs>
              <w:autoSpaceDE w:val="0"/>
              <w:autoSpaceDN w:val="0"/>
              <w:adjustRightInd w:val="0"/>
              <w:spacing w:after="200" w:line="276" w:lineRule="auto"/>
              <w:ind w:right="-46"/>
              <w:jc w:val="center"/>
              <w:rPr>
                <w:rFonts w:eastAsia="Calibri" w:cstheme="minorHAnsi"/>
                <w:b/>
                <w:sz w:val="20"/>
                <w:szCs w:val="20"/>
              </w:rPr>
            </w:pPr>
            <w:r w:rsidRPr="00432792">
              <w:rPr>
                <w:rFonts w:eastAsia="Calibri" w:cstheme="minorHAnsi"/>
                <w:b/>
                <w:sz w:val="20"/>
                <w:szCs w:val="20"/>
              </w:rPr>
              <w:t>1887</w:t>
            </w:r>
          </w:p>
        </w:tc>
      </w:tr>
    </w:tbl>
    <w:p w14:paraId="09439B8C" w14:textId="1EEDAA36" w:rsidR="00FB6398" w:rsidRPr="00E46DC8" w:rsidRDefault="00FB6398" w:rsidP="0032728C">
      <w:pPr>
        <w:autoSpaceDE w:val="0"/>
        <w:autoSpaceDN w:val="0"/>
        <w:adjustRightInd w:val="0"/>
        <w:spacing w:before="240"/>
        <w:ind w:left="993" w:hanging="1135"/>
        <w:jc w:val="center"/>
        <w:rPr>
          <w:rFonts w:eastAsia="Calibri"/>
          <w:color w:val="000000"/>
          <w:sz w:val="20"/>
          <w:szCs w:val="20"/>
        </w:rPr>
      </w:pPr>
      <w:r w:rsidRPr="00E46DC8">
        <w:rPr>
          <w:rFonts w:eastAsia="Calibri"/>
          <w:b/>
          <w:bCs/>
          <w:color w:val="000000" w:themeColor="text1"/>
          <w:sz w:val="20"/>
          <w:szCs w:val="20"/>
        </w:rPr>
        <w:t xml:space="preserve">Table </w:t>
      </w:r>
      <w:r w:rsidR="00C302A2" w:rsidRPr="00E46DC8">
        <w:rPr>
          <w:rFonts w:eastAsia="Calibri"/>
          <w:b/>
          <w:bCs/>
          <w:color w:val="000000" w:themeColor="text1"/>
          <w:sz w:val="20"/>
          <w:szCs w:val="20"/>
        </w:rPr>
        <w:t>1</w:t>
      </w:r>
      <w:r w:rsidR="000109E8">
        <w:rPr>
          <w:rFonts w:eastAsia="Calibri"/>
          <w:b/>
          <w:bCs/>
          <w:color w:val="000000" w:themeColor="text1"/>
          <w:sz w:val="20"/>
          <w:szCs w:val="20"/>
        </w:rPr>
        <w:t>3</w:t>
      </w:r>
      <w:r w:rsidRPr="00E46DC8">
        <w:rPr>
          <w:rFonts w:eastAsia="Calibri"/>
          <w:b/>
          <w:bCs/>
          <w:color w:val="000000" w:themeColor="text1"/>
          <w:sz w:val="20"/>
          <w:szCs w:val="20"/>
        </w:rPr>
        <w:t xml:space="preserve">: </w:t>
      </w:r>
      <w:r w:rsidRPr="00E46DC8">
        <w:rPr>
          <w:rFonts w:eastAsia="Calibri"/>
          <w:color w:val="000000" w:themeColor="text1"/>
          <w:sz w:val="20"/>
          <w:szCs w:val="20"/>
        </w:rPr>
        <w:t>Net additional C3 dwellings permitted since the start of the Local Plan period</w:t>
      </w:r>
    </w:p>
    <w:p w14:paraId="01B308F4" w14:textId="76B49710" w:rsidR="00FB6398" w:rsidRPr="00432792" w:rsidRDefault="35B8BBBA" w:rsidP="108EF35C">
      <w:pPr>
        <w:pStyle w:val="Default"/>
        <w:spacing w:after="178"/>
        <w:rPr>
          <w:rFonts w:asciiTheme="minorHAnsi" w:hAnsiTheme="minorHAnsi" w:cstheme="minorBidi"/>
          <w:sz w:val="20"/>
          <w:szCs w:val="20"/>
        </w:rPr>
      </w:pPr>
      <w:r w:rsidRPr="108EF35C">
        <w:rPr>
          <w:rFonts w:asciiTheme="minorHAnsi" w:hAnsiTheme="minorHAnsi" w:cstheme="minorBidi"/>
          <w:sz w:val="20"/>
          <w:szCs w:val="20"/>
        </w:rPr>
        <w:lastRenderedPageBreak/>
        <w:t>Note: This does not includ</w:t>
      </w:r>
      <w:r w:rsidR="78D6B0F1" w:rsidRPr="108EF35C">
        <w:rPr>
          <w:rFonts w:asciiTheme="minorHAnsi" w:hAnsiTheme="minorHAnsi" w:cstheme="minorBidi"/>
          <w:sz w:val="20"/>
          <w:szCs w:val="20"/>
        </w:rPr>
        <w:t>e</w:t>
      </w:r>
      <w:r w:rsidRPr="108EF35C">
        <w:rPr>
          <w:rFonts w:asciiTheme="minorHAnsi" w:hAnsiTheme="minorHAnsi" w:cstheme="minorBidi"/>
          <w:sz w:val="20"/>
          <w:szCs w:val="20"/>
        </w:rPr>
        <w:t xml:space="preserve"> dwelling equivalent figures for C2 student accommodation and care home rooms. </w:t>
      </w:r>
    </w:p>
    <w:p w14:paraId="27E5B923" w14:textId="17FB0B75" w:rsidR="00CA7EE1" w:rsidRPr="0012619C" w:rsidRDefault="2977E957"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T</w:t>
      </w:r>
      <w:r w:rsidR="35B8BBBA" w:rsidRPr="0012619C">
        <w:rPr>
          <w:rFonts w:eastAsiaTheme="minorEastAsia"/>
        </w:rPr>
        <w:t xml:space="preserve">able </w:t>
      </w:r>
      <w:r w:rsidR="7835C746" w:rsidRPr="0012619C">
        <w:rPr>
          <w:rFonts w:eastAsiaTheme="minorEastAsia"/>
        </w:rPr>
        <w:t>1</w:t>
      </w:r>
      <w:r w:rsidR="000109E8" w:rsidRPr="0012619C">
        <w:rPr>
          <w:rFonts w:eastAsiaTheme="minorEastAsia"/>
        </w:rPr>
        <w:t>3</w:t>
      </w:r>
      <w:r w:rsidR="35B8BBBA" w:rsidRPr="0012619C">
        <w:rPr>
          <w:rFonts w:eastAsiaTheme="minorEastAsia"/>
        </w:rPr>
        <w:t xml:space="preserve"> shows that over the 2020/21 monitoring period, planning permission was granted for 278 C3 residential dwellings.  133 of these were market dwellings and 132 affordable dwellings.  The remaining 13 are dwellings permitted following planning applications for Certificates of Existing Use. </w:t>
      </w:r>
    </w:p>
    <w:p w14:paraId="09AE04B7" w14:textId="464EF0DA" w:rsidR="00FB6398"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Local Plan policy H2 requires a minimum of 50% affordable provision on qualifying development sites, this includes residential developments with a capacity for 10 or more dwellings or which exceed 0.5 hectares.  At least 40% of the overall number of units on the site should be provided as on-site social rented dwellings.  The majority of permissions in the 2020/21 monitoring year have been small scale developments that did not meet the threshold for applying Policy H2.  There were 5 residential permissions that met the threshold as shown in Table </w:t>
      </w:r>
      <w:r w:rsidR="1DC58EFC" w:rsidRPr="0012619C">
        <w:rPr>
          <w:rFonts w:eastAsiaTheme="minorEastAsia"/>
        </w:rPr>
        <w:t>1</w:t>
      </w:r>
      <w:r w:rsidR="000109E8" w:rsidRPr="0012619C">
        <w:rPr>
          <w:rFonts w:eastAsiaTheme="minorEastAsia"/>
        </w:rPr>
        <w:t>4</w:t>
      </w:r>
      <w:r w:rsidRPr="0012619C">
        <w:rPr>
          <w:rFonts w:eastAsiaTheme="minorEastAsia"/>
        </w:rPr>
        <w:t>.</w:t>
      </w:r>
    </w:p>
    <w:tbl>
      <w:tblPr>
        <w:tblStyle w:val="TableGrid"/>
        <w:tblW w:w="0" w:type="auto"/>
        <w:jc w:val="center"/>
        <w:tblLook w:val="04A0" w:firstRow="1" w:lastRow="0" w:firstColumn="1" w:lastColumn="0" w:noHBand="0" w:noVBand="1"/>
      </w:tblPr>
      <w:tblGrid>
        <w:gridCol w:w="1620"/>
        <w:gridCol w:w="1319"/>
        <w:gridCol w:w="1213"/>
        <w:gridCol w:w="1331"/>
        <w:gridCol w:w="1494"/>
      </w:tblGrid>
      <w:tr w:rsidR="00FB6398" w:rsidRPr="00432792" w14:paraId="105EBEAB" w14:textId="77777777" w:rsidTr="008F3115">
        <w:trPr>
          <w:jc w:val="center"/>
        </w:trPr>
        <w:tc>
          <w:tcPr>
            <w:tcW w:w="1620" w:type="dxa"/>
          </w:tcPr>
          <w:p w14:paraId="73F79A66" w14:textId="77777777" w:rsidR="00FB6398" w:rsidRPr="008079F0" w:rsidRDefault="00FB6398" w:rsidP="008F3115">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Planning Permission Reference</w:t>
            </w:r>
          </w:p>
        </w:tc>
        <w:tc>
          <w:tcPr>
            <w:tcW w:w="1319" w:type="dxa"/>
          </w:tcPr>
          <w:p w14:paraId="7CEB248D" w14:textId="77777777" w:rsidR="00FB6398" w:rsidRPr="008079F0" w:rsidRDefault="00FB6398" w:rsidP="008079F0">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Site Address</w:t>
            </w:r>
          </w:p>
        </w:tc>
        <w:tc>
          <w:tcPr>
            <w:tcW w:w="1213" w:type="dxa"/>
          </w:tcPr>
          <w:p w14:paraId="63E62BD5" w14:textId="77777777" w:rsidR="00FB6398" w:rsidRPr="008079F0" w:rsidRDefault="00FB6398" w:rsidP="008079F0">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No. of new homes (net)</w:t>
            </w:r>
          </w:p>
        </w:tc>
        <w:tc>
          <w:tcPr>
            <w:tcW w:w="1331" w:type="dxa"/>
          </w:tcPr>
          <w:p w14:paraId="102C78E7" w14:textId="77777777" w:rsidR="00FB6398" w:rsidRPr="008079F0" w:rsidRDefault="00FB6398" w:rsidP="008079F0">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Affordable Housing Provision</w:t>
            </w:r>
          </w:p>
        </w:tc>
        <w:tc>
          <w:tcPr>
            <w:tcW w:w="1494" w:type="dxa"/>
          </w:tcPr>
          <w:p w14:paraId="1526E653" w14:textId="77777777" w:rsidR="00FB6398" w:rsidRPr="008079F0" w:rsidRDefault="00FB6398" w:rsidP="008079F0">
            <w:pPr>
              <w:pStyle w:val="Default"/>
              <w:spacing w:after="178"/>
              <w:jc w:val="center"/>
              <w:rPr>
                <w:rFonts w:asciiTheme="minorHAnsi" w:hAnsiTheme="minorHAnsi" w:cstheme="minorHAnsi"/>
                <w:b/>
                <w:sz w:val="20"/>
                <w:szCs w:val="20"/>
                <w:u w:val="single"/>
              </w:rPr>
            </w:pPr>
            <w:r w:rsidRPr="008079F0">
              <w:rPr>
                <w:rFonts w:asciiTheme="minorHAnsi" w:hAnsiTheme="minorHAnsi" w:cstheme="minorHAnsi"/>
                <w:b/>
                <w:sz w:val="20"/>
                <w:szCs w:val="20"/>
                <w:u w:val="single"/>
              </w:rPr>
              <w:t>Affordable Tenure</w:t>
            </w:r>
          </w:p>
        </w:tc>
      </w:tr>
      <w:tr w:rsidR="00FB6398" w:rsidRPr="00432792" w14:paraId="7224CBD7" w14:textId="77777777" w:rsidTr="008F3115">
        <w:trPr>
          <w:jc w:val="center"/>
        </w:trPr>
        <w:tc>
          <w:tcPr>
            <w:tcW w:w="1620" w:type="dxa"/>
          </w:tcPr>
          <w:p w14:paraId="1DC568A9" w14:textId="77777777" w:rsidR="00FB6398" w:rsidRPr="00432792" w:rsidRDefault="00FB6398" w:rsidP="008F3115">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19/03106/FUL</w:t>
            </w:r>
          </w:p>
        </w:tc>
        <w:tc>
          <w:tcPr>
            <w:tcW w:w="1319" w:type="dxa"/>
          </w:tcPr>
          <w:p w14:paraId="394CDA43" w14:textId="07B5FDBB"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Lucy Faithfull House, 8 Speedwell Street</w:t>
            </w:r>
          </w:p>
        </w:tc>
        <w:tc>
          <w:tcPr>
            <w:tcW w:w="1213" w:type="dxa"/>
          </w:tcPr>
          <w:p w14:paraId="545DFF06"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36</w:t>
            </w:r>
          </w:p>
        </w:tc>
        <w:tc>
          <w:tcPr>
            <w:tcW w:w="1331" w:type="dxa"/>
          </w:tcPr>
          <w:p w14:paraId="350D7C58"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50%</w:t>
            </w:r>
          </w:p>
        </w:tc>
        <w:tc>
          <w:tcPr>
            <w:tcW w:w="1494" w:type="dxa"/>
          </w:tcPr>
          <w:p w14:paraId="61681CC6"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100% Social Rent</w:t>
            </w:r>
          </w:p>
        </w:tc>
      </w:tr>
      <w:tr w:rsidR="00FB6398" w:rsidRPr="00432792" w14:paraId="7A99AA36" w14:textId="77777777" w:rsidTr="008F3115">
        <w:trPr>
          <w:jc w:val="center"/>
        </w:trPr>
        <w:tc>
          <w:tcPr>
            <w:tcW w:w="1620" w:type="dxa"/>
          </w:tcPr>
          <w:p w14:paraId="08ACF73D" w14:textId="77777777" w:rsidR="00FB6398" w:rsidRPr="00432792" w:rsidRDefault="00FB6398" w:rsidP="008F3115">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18/03369/FUL</w:t>
            </w:r>
          </w:p>
        </w:tc>
        <w:tc>
          <w:tcPr>
            <w:tcW w:w="1319" w:type="dxa"/>
          </w:tcPr>
          <w:p w14:paraId="6E9583A6"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Site of Gibbs Crescent</w:t>
            </w:r>
          </w:p>
        </w:tc>
        <w:tc>
          <w:tcPr>
            <w:tcW w:w="1213" w:type="dxa"/>
          </w:tcPr>
          <w:p w14:paraId="78E862C0"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62</w:t>
            </w:r>
          </w:p>
          <w:p w14:paraId="06214BE0"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(140 gross)</w:t>
            </w:r>
          </w:p>
        </w:tc>
        <w:tc>
          <w:tcPr>
            <w:tcW w:w="1331" w:type="dxa"/>
          </w:tcPr>
          <w:p w14:paraId="4668880C"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50%</w:t>
            </w:r>
          </w:p>
        </w:tc>
        <w:tc>
          <w:tcPr>
            <w:tcW w:w="1494" w:type="dxa"/>
          </w:tcPr>
          <w:p w14:paraId="33380CA0"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20% Intermediate</w:t>
            </w:r>
          </w:p>
          <w:p w14:paraId="08492EEB"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80% Social Rent</w:t>
            </w:r>
          </w:p>
        </w:tc>
      </w:tr>
      <w:tr w:rsidR="00FB6398" w:rsidRPr="00432792" w14:paraId="17500852" w14:textId="77777777" w:rsidTr="008F3115">
        <w:trPr>
          <w:jc w:val="center"/>
        </w:trPr>
        <w:tc>
          <w:tcPr>
            <w:tcW w:w="1620" w:type="dxa"/>
          </w:tcPr>
          <w:p w14:paraId="7423C656" w14:textId="77777777" w:rsidR="00FB6398" w:rsidRPr="00432792" w:rsidRDefault="00FB6398" w:rsidP="008F3115">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18/03370/FUL</w:t>
            </w:r>
          </w:p>
        </w:tc>
        <w:tc>
          <w:tcPr>
            <w:tcW w:w="1319" w:type="dxa"/>
          </w:tcPr>
          <w:p w14:paraId="1B7CC0AA"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Simon House, 1-5 Paradise Street</w:t>
            </w:r>
          </w:p>
        </w:tc>
        <w:tc>
          <w:tcPr>
            <w:tcW w:w="1213" w:type="dxa"/>
          </w:tcPr>
          <w:p w14:paraId="1BF7F122"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30</w:t>
            </w:r>
          </w:p>
        </w:tc>
        <w:tc>
          <w:tcPr>
            <w:tcW w:w="1331" w:type="dxa"/>
          </w:tcPr>
          <w:p w14:paraId="11EA61BF"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50%</w:t>
            </w:r>
          </w:p>
        </w:tc>
        <w:tc>
          <w:tcPr>
            <w:tcW w:w="1494" w:type="dxa"/>
          </w:tcPr>
          <w:p w14:paraId="67B49F4C" w14:textId="77777777" w:rsidR="00FB6398" w:rsidRPr="00432792" w:rsidRDefault="00FB6398" w:rsidP="008079F0">
            <w:pPr>
              <w:pStyle w:val="Default"/>
              <w:spacing w:after="178"/>
              <w:jc w:val="center"/>
              <w:rPr>
                <w:rFonts w:asciiTheme="minorHAnsi" w:hAnsiTheme="minorHAnsi" w:cstheme="minorHAnsi"/>
                <w:sz w:val="20"/>
                <w:szCs w:val="20"/>
              </w:rPr>
            </w:pPr>
          </w:p>
        </w:tc>
      </w:tr>
      <w:tr w:rsidR="00FB6398" w:rsidRPr="00432792" w14:paraId="54DAF419" w14:textId="77777777" w:rsidTr="008F3115">
        <w:trPr>
          <w:jc w:val="center"/>
        </w:trPr>
        <w:tc>
          <w:tcPr>
            <w:tcW w:w="1620" w:type="dxa"/>
          </w:tcPr>
          <w:p w14:paraId="745BDFDE" w14:textId="77777777" w:rsidR="00FB6398" w:rsidRPr="00432792" w:rsidRDefault="00FB6398" w:rsidP="008F3115">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19/01038/FUL</w:t>
            </w:r>
          </w:p>
        </w:tc>
        <w:tc>
          <w:tcPr>
            <w:tcW w:w="1319" w:type="dxa"/>
          </w:tcPr>
          <w:p w14:paraId="03A83CB1"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Ivy Lane, Osler Road</w:t>
            </w:r>
          </w:p>
        </w:tc>
        <w:tc>
          <w:tcPr>
            <w:tcW w:w="1213" w:type="dxa"/>
          </w:tcPr>
          <w:p w14:paraId="682CFB49" w14:textId="77777777" w:rsidR="00FB6398" w:rsidRPr="00432792" w:rsidRDefault="00FB6398" w:rsidP="008079F0">
            <w:pPr>
              <w:pStyle w:val="Default"/>
              <w:tabs>
                <w:tab w:val="left" w:pos="756"/>
              </w:tabs>
              <w:spacing w:after="178"/>
              <w:jc w:val="center"/>
              <w:rPr>
                <w:rFonts w:asciiTheme="minorHAnsi" w:hAnsiTheme="minorHAnsi" w:cstheme="minorHAnsi"/>
                <w:sz w:val="20"/>
                <w:szCs w:val="20"/>
              </w:rPr>
            </w:pPr>
            <w:r w:rsidRPr="00432792">
              <w:rPr>
                <w:rFonts w:asciiTheme="minorHAnsi" w:hAnsiTheme="minorHAnsi" w:cstheme="minorHAnsi"/>
                <w:sz w:val="20"/>
                <w:szCs w:val="20"/>
              </w:rPr>
              <w:t>34</w:t>
            </w:r>
          </w:p>
        </w:tc>
        <w:tc>
          <w:tcPr>
            <w:tcW w:w="1331" w:type="dxa"/>
          </w:tcPr>
          <w:p w14:paraId="20B10713"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100%</w:t>
            </w:r>
          </w:p>
        </w:tc>
        <w:tc>
          <w:tcPr>
            <w:tcW w:w="1494" w:type="dxa"/>
          </w:tcPr>
          <w:p w14:paraId="4269186D"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Key worker</w:t>
            </w:r>
          </w:p>
        </w:tc>
      </w:tr>
      <w:tr w:rsidR="00FB6398" w:rsidRPr="00432792" w14:paraId="15BA1CB2" w14:textId="77777777" w:rsidTr="008F3115">
        <w:trPr>
          <w:jc w:val="center"/>
        </w:trPr>
        <w:tc>
          <w:tcPr>
            <w:tcW w:w="1620" w:type="dxa"/>
          </w:tcPr>
          <w:p w14:paraId="6ED34F80" w14:textId="77777777" w:rsidR="00FB6398" w:rsidRPr="00432792" w:rsidRDefault="00FB6398" w:rsidP="008F3115">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19/01039/FUL</w:t>
            </w:r>
          </w:p>
        </w:tc>
        <w:tc>
          <w:tcPr>
            <w:tcW w:w="1319" w:type="dxa"/>
          </w:tcPr>
          <w:p w14:paraId="3B9DDB56" w14:textId="23905E44" w:rsidR="00FB6398" w:rsidRPr="00432792" w:rsidRDefault="00FB6398" w:rsidP="008079F0">
            <w:pPr>
              <w:pStyle w:val="Default"/>
              <w:spacing w:after="178"/>
              <w:jc w:val="center"/>
              <w:rPr>
                <w:rFonts w:asciiTheme="minorHAnsi" w:hAnsiTheme="minorHAnsi" w:cstheme="minorBidi"/>
                <w:sz w:val="20"/>
                <w:szCs w:val="20"/>
              </w:rPr>
            </w:pPr>
            <w:r w:rsidRPr="73C076F8">
              <w:rPr>
                <w:rFonts w:asciiTheme="minorHAnsi" w:hAnsiTheme="minorHAnsi" w:cstheme="minorBidi"/>
                <w:sz w:val="20"/>
                <w:szCs w:val="20"/>
              </w:rPr>
              <w:t>Site adjacent Rando</w:t>
            </w:r>
            <w:r w:rsidR="6873071E" w:rsidRPr="73C076F8">
              <w:rPr>
                <w:rFonts w:asciiTheme="minorHAnsi" w:hAnsiTheme="minorHAnsi" w:cstheme="minorBidi"/>
                <w:sz w:val="20"/>
                <w:szCs w:val="20"/>
              </w:rPr>
              <w:t>lph</w:t>
            </w:r>
            <w:r w:rsidRPr="73C076F8">
              <w:rPr>
                <w:rFonts w:asciiTheme="minorHAnsi" w:hAnsiTheme="minorHAnsi" w:cstheme="minorBidi"/>
                <w:sz w:val="20"/>
                <w:szCs w:val="20"/>
              </w:rPr>
              <w:t xml:space="preserve"> Court, Churchill Drive</w:t>
            </w:r>
          </w:p>
        </w:tc>
        <w:tc>
          <w:tcPr>
            <w:tcW w:w="1213" w:type="dxa"/>
          </w:tcPr>
          <w:p w14:paraId="31F43335"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19</w:t>
            </w:r>
          </w:p>
        </w:tc>
        <w:tc>
          <w:tcPr>
            <w:tcW w:w="1331" w:type="dxa"/>
          </w:tcPr>
          <w:p w14:paraId="005D3E3E" w14:textId="7777777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100%</w:t>
            </w:r>
          </w:p>
        </w:tc>
        <w:tc>
          <w:tcPr>
            <w:tcW w:w="1494" w:type="dxa"/>
          </w:tcPr>
          <w:p w14:paraId="142976AA" w14:textId="6BD3A7A7" w:rsidR="00FB6398" w:rsidRPr="00432792" w:rsidRDefault="00FB6398" w:rsidP="008079F0">
            <w:pPr>
              <w:pStyle w:val="Default"/>
              <w:spacing w:after="178"/>
              <w:jc w:val="center"/>
              <w:rPr>
                <w:rFonts w:asciiTheme="minorHAnsi" w:hAnsiTheme="minorHAnsi" w:cstheme="minorHAnsi"/>
                <w:sz w:val="20"/>
                <w:szCs w:val="20"/>
              </w:rPr>
            </w:pPr>
            <w:r w:rsidRPr="00432792">
              <w:rPr>
                <w:rFonts w:asciiTheme="minorHAnsi" w:hAnsiTheme="minorHAnsi" w:cstheme="minorHAnsi"/>
                <w:sz w:val="20"/>
                <w:szCs w:val="20"/>
              </w:rPr>
              <w:t>Key worker</w:t>
            </w:r>
          </w:p>
        </w:tc>
      </w:tr>
    </w:tbl>
    <w:p w14:paraId="366AA729" w14:textId="47A99A07" w:rsidR="007913FD" w:rsidRPr="00E46DC8" w:rsidRDefault="00FB6398" w:rsidP="0032728C">
      <w:pPr>
        <w:pStyle w:val="Default"/>
        <w:spacing w:before="240" w:after="178"/>
        <w:jc w:val="center"/>
        <w:rPr>
          <w:rFonts w:asciiTheme="minorHAnsi" w:hAnsiTheme="minorHAnsi" w:cstheme="minorBidi"/>
          <w:sz w:val="20"/>
          <w:szCs w:val="20"/>
        </w:rPr>
      </w:pPr>
      <w:r w:rsidRPr="00E46DC8">
        <w:rPr>
          <w:rFonts w:asciiTheme="minorHAnsi" w:hAnsiTheme="minorHAnsi" w:cstheme="minorBidi"/>
          <w:b/>
          <w:bCs/>
          <w:sz w:val="20"/>
          <w:szCs w:val="20"/>
        </w:rPr>
        <w:t xml:space="preserve">Table </w:t>
      </w:r>
      <w:r w:rsidR="000109E8">
        <w:rPr>
          <w:rFonts w:asciiTheme="minorHAnsi" w:hAnsiTheme="minorHAnsi" w:cstheme="minorBidi"/>
          <w:b/>
          <w:bCs/>
          <w:sz w:val="20"/>
          <w:szCs w:val="20"/>
        </w:rPr>
        <w:t>14</w:t>
      </w:r>
      <w:r w:rsidRPr="00E46DC8">
        <w:rPr>
          <w:rFonts w:asciiTheme="minorHAnsi" w:hAnsiTheme="minorHAnsi" w:cstheme="minorBidi"/>
          <w:b/>
          <w:bCs/>
          <w:sz w:val="20"/>
          <w:szCs w:val="20"/>
        </w:rPr>
        <w:t>:</w:t>
      </w:r>
      <w:r w:rsidRPr="00E46DC8">
        <w:rPr>
          <w:rFonts w:asciiTheme="minorHAnsi" w:hAnsiTheme="minorHAnsi" w:cstheme="minorBidi"/>
          <w:sz w:val="20"/>
          <w:szCs w:val="20"/>
        </w:rPr>
        <w:t xml:space="preserve"> Proportion of affordable housing where there is a policy re</w:t>
      </w:r>
      <w:r w:rsidR="007913FD" w:rsidRPr="00E46DC8">
        <w:rPr>
          <w:rFonts w:asciiTheme="minorHAnsi" w:hAnsiTheme="minorHAnsi" w:cstheme="minorBidi"/>
          <w:sz w:val="20"/>
          <w:szCs w:val="20"/>
        </w:rPr>
        <w:t>quirement (permissions) 2020/21</w:t>
      </w:r>
    </w:p>
    <w:p w14:paraId="23C7A8F0" w14:textId="5427D0F0" w:rsidR="00CA7EE1"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In addition to the applications set out in Table </w:t>
      </w:r>
      <w:r w:rsidR="1F046E27" w:rsidRPr="0012619C">
        <w:rPr>
          <w:rFonts w:eastAsiaTheme="minorEastAsia"/>
        </w:rPr>
        <w:t>1</w:t>
      </w:r>
      <w:r w:rsidR="000109E8" w:rsidRPr="0012619C">
        <w:rPr>
          <w:rFonts w:eastAsiaTheme="minorEastAsia"/>
        </w:rPr>
        <w:t>4</w:t>
      </w:r>
      <w:r w:rsidRPr="0012619C">
        <w:rPr>
          <w:rFonts w:eastAsiaTheme="minorEastAsia"/>
        </w:rPr>
        <w:t xml:space="preserve"> above, Policy H2 also requires a financial contribution to be secured towards delivering affordable housing elsewhere in Oxford from new student accommodation of 25 or more student units (or 10 or more self- contained student units).  Alternatively</w:t>
      </w:r>
      <w:r w:rsidR="25A581A2" w:rsidRPr="0012619C">
        <w:rPr>
          <w:rFonts w:eastAsiaTheme="minorEastAsia"/>
        </w:rPr>
        <w:t>,</w:t>
      </w:r>
      <w:r w:rsidRPr="0012619C">
        <w:rPr>
          <w:rFonts w:eastAsiaTheme="minorEastAsia"/>
        </w:rPr>
        <w:t xml:space="preserve"> this can be provided onsite where it is agreed that the provision is appropriate.  The exception to this is where the proposal is within an existing or proposed student campus </w:t>
      </w:r>
      <w:r w:rsidR="7675C5BB" w:rsidRPr="0012619C">
        <w:rPr>
          <w:rFonts w:eastAsiaTheme="minorEastAsia"/>
        </w:rPr>
        <w:t>site,</w:t>
      </w:r>
      <w:r w:rsidRPr="0012619C">
        <w:rPr>
          <w:rFonts w:eastAsiaTheme="minorEastAsia"/>
        </w:rPr>
        <w:t xml:space="preserve"> or the proposal is for the redevelopment of an existing purpose-built student accommodation site owned by a university to meet the accommodation needs of its students.  Over the 2020/21 monitoring period there were three applications that met the </w:t>
      </w:r>
      <w:r w:rsidRPr="0012619C">
        <w:rPr>
          <w:rFonts w:eastAsiaTheme="minorEastAsia"/>
        </w:rPr>
        <w:lastRenderedPageBreak/>
        <w:t>threshold for applying Policy H2, but all of these were on existing student campus sites and therefore financial contributions for affordable housing were not able to be sough</w:t>
      </w:r>
      <w:r w:rsidR="278EDF3B" w:rsidRPr="0012619C">
        <w:rPr>
          <w:rFonts w:eastAsiaTheme="minorEastAsia"/>
        </w:rPr>
        <w:t>t.</w:t>
      </w:r>
    </w:p>
    <w:p w14:paraId="78E2706F" w14:textId="055BF35A" w:rsidR="0032728C"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Local Plan policy H5 seeks to protect Oxford’s existing housing stock by resisting the net loss of any dwellings.  There is however some flexibility within the policy to allow a loss where there are exceptional justifications.  Over the </w:t>
      </w:r>
      <w:r w:rsidR="5724EA4F" w:rsidRPr="0012619C">
        <w:rPr>
          <w:rFonts w:eastAsiaTheme="minorEastAsia"/>
        </w:rPr>
        <w:t>20</w:t>
      </w:r>
      <w:r w:rsidRPr="0012619C">
        <w:rPr>
          <w:rFonts w:eastAsiaTheme="minorEastAsia"/>
        </w:rPr>
        <w:t xml:space="preserve">20/21 monitoring period, there was one permission that resulted in the loss of 23 homes.  This was on the site of Gibbs Crescent where permission was granted for the demolition of existing buildings and construction of 30 dwellings (18/03369/FUL).  Although this application involved the loss of residential units, </w:t>
      </w:r>
      <w:r w:rsidR="5DF00D5B" w:rsidRPr="0012619C">
        <w:rPr>
          <w:rFonts w:eastAsiaTheme="minorEastAsia"/>
        </w:rPr>
        <w:t>the application was considered by planning committee in October 2019 under the previous local plan and at the time</w:t>
      </w:r>
      <w:r w:rsidR="1698C851" w:rsidRPr="0012619C">
        <w:rPr>
          <w:rFonts w:eastAsiaTheme="minorEastAsia"/>
        </w:rPr>
        <w:t xml:space="preserve"> limited weight was given to the emerging policies in the Local Plan 2036</w:t>
      </w:r>
      <w:r w:rsidR="4CD92B1A" w:rsidRPr="0012619C">
        <w:rPr>
          <w:rFonts w:eastAsiaTheme="minorEastAsia"/>
        </w:rPr>
        <w:t xml:space="preserve">. </w:t>
      </w:r>
    </w:p>
    <w:p w14:paraId="1181EC00" w14:textId="77777777" w:rsidR="008F46CF" w:rsidRDefault="00FB6398" w:rsidP="73C076F8">
      <w:pPr>
        <w:pStyle w:val="Heading2"/>
      </w:pPr>
      <w:bookmarkStart w:id="37" w:name="_Toc88135855"/>
      <w:r>
        <w:t>Employer-linked affordable housing</w:t>
      </w:r>
      <w:bookmarkEnd w:id="37"/>
    </w:p>
    <w:p w14:paraId="313E3C3B" w14:textId="3DA8C40C" w:rsidR="00FB6398"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Policy H3 allows planning permission to be granted on specific sites for employer-linked affordable housing.  Over the 2020/21 monitoring year two applications were permitted with provision for employer-linked affordable housing.  The first was for the demolition of existing key worker housing and erection of phased development of key worker – employer linked housing at Ivy Lane, Osler Road </w:t>
      </w:r>
      <w:r w:rsidR="33503FBE" w:rsidRPr="0012619C">
        <w:rPr>
          <w:rFonts w:eastAsiaTheme="minorEastAsia"/>
        </w:rPr>
        <w:t>(</w:t>
      </w:r>
      <w:r w:rsidRPr="0012619C">
        <w:rPr>
          <w:rFonts w:eastAsiaTheme="minorEastAsia"/>
        </w:rPr>
        <w:t>19/01038/FUL).  The second was for the demolition of existing buildings and construction of key worker housing (19 cluster units) on land adjacent to Randolph Court, Churchill Drive (19/01039/FUL).  Both of these applications were originally submitted in 2019 and were considered under the previous development plan documents, namely the Local Plan 2016, the Core Strategy and the Sites and Housing Plan</w:t>
      </w:r>
      <w:r w:rsidR="7BA185E2" w:rsidRPr="0012619C">
        <w:rPr>
          <w:rFonts w:eastAsiaTheme="minorEastAsia"/>
        </w:rPr>
        <w:t xml:space="preserve">. </w:t>
      </w:r>
    </w:p>
    <w:p w14:paraId="1ADA107E" w14:textId="77777777" w:rsidR="005B0327" w:rsidRDefault="00FB6398" w:rsidP="73C076F8">
      <w:pPr>
        <w:pStyle w:val="Heading2"/>
      </w:pPr>
      <w:bookmarkStart w:id="38" w:name="_Toc88135856"/>
      <w:r>
        <w:t>Community-led housin</w:t>
      </w:r>
      <w:r w:rsidR="005B0327">
        <w:t>g</w:t>
      </w:r>
      <w:bookmarkEnd w:id="38"/>
    </w:p>
    <w:p w14:paraId="002A7063" w14:textId="559E7BBD" w:rsidR="00CA7EE1" w:rsidRPr="00292CDF" w:rsidRDefault="35B8BBBA" w:rsidP="00292CDF">
      <w:pPr>
        <w:keepNext/>
        <w:numPr>
          <w:ilvl w:val="1"/>
          <w:numId w:val="11"/>
        </w:numPr>
        <w:spacing w:before="240" w:after="200" w:line="276" w:lineRule="auto"/>
        <w:ind w:left="567" w:hanging="567"/>
        <w:jc w:val="both"/>
        <w:rPr>
          <w:rFonts w:eastAsiaTheme="minorEastAsia"/>
        </w:rPr>
      </w:pPr>
      <w:r w:rsidRPr="0012619C">
        <w:rPr>
          <w:rFonts w:eastAsiaTheme="minorEastAsia"/>
        </w:rPr>
        <w:t>Community-led housing is a key element of the government’s agenda to increase supply and tackle the housing crisis. Community-led housing projects can include both group self-build and cohousing. Community-led housing requires meaningful community engagement throughout the process, with the local community group or organisation ultimately owning or managing the homes to benefit the local area or community group. The approach of Policy H7 is to help encourage sufficient self-build and custom housebuilding to come forward to meet demand, to support community-led housing, and to guide applications that come forward for these housing types</w:t>
      </w:r>
      <w:r w:rsidR="10C7DA70" w:rsidRPr="0012619C">
        <w:rPr>
          <w:rFonts w:eastAsiaTheme="minorEastAsia"/>
        </w:rPr>
        <w:t xml:space="preserve">. </w:t>
      </w:r>
      <w:r w:rsidRPr="0012619C">
        <w:rPr>
          <w:rFonts w:eastAsiaTheme="minorEastAsia"/>
        </w:rPr>
        <w:t xml:space="preserve">   </w:t>
      </w:r>
    </w:p>
    <w:p w14:paraId="5CDD22CD" w14:textId="348413F6" w:rsidR="0032728C"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Over the 2020/21 monitoring period, the Council did not receive or approve any applications for community-led housing. </w:t>
      </w:r>
    </w:p>
    <w:p w14:paraId="0A9E3045" w14:textId="20840FB4" w:rsidR="00FB6398" w:rsidRPr="00432792" w:rsidRDefault="00A00D7C" w:rsidP="73C076F8">
      <w:pPr>
        <w:pStyle w:val="Heading2"/>
      </w:pPr>
      <w:bookmarkStart w:id="39" w:name="_Toc88135857"/>
      <w:r>
        <w:t>Self-Build h</w:t>
      </w:r>
      <w:r w:rsidR="00FB6398">
        <w:t>ousing</w:t>
      </w:r>
      <w:bookmarkEnd w:id="39"/>
    </w:p>
    <w:p w14:paraId="1FC72938" w14:textId="5F2EBF81" w:rsidR="00CA7EE1"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The City Council is required to keep a register of individuals and groups who are seeking to acquire serviced plots of land in Oxford on which to build their own homes. (*Requirement of the Self-build and custom Housebuilding Act 2015). The Planning Practice Guidance encourages </w:t>
      </w:r>
      <w:r w:rsidRPr="0012619C">
        <w:rPr>
          <w:rFonts w:eastAsiaTheme="minorEastAsia"/>
        </w:rPr>
        <w:lastRenderedPageBreak/>
        <w:t>authorities to publish headline information related to their Self-build and Custom Housebu</w:t>
      </w:r>
      <w:r w:rsidR="00EC26A0" w:rsidRPr="0012619C">
        <w:rPr>
          <w:rFonts w:eastAsiaTheme="minorEastAsia"/>
        </w:rPr>
        <w:t>ilding Registers in their AMRs.</w:t>
      </w:r>
    </w:p>
    <w:p w14:paraId="5096D606" w14:textId="4DE77357" w:rsidR="00FB6398"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Over the 2020/21 monitoring year there has been an increase of 25 individuals on the Oxford Self and Custom Build Register. Overall, there has been an increase of just over a third in the total number of plots required. </w:t>
      </w:r>
    </w:p>
    <w:tbl>
      <w:tblPr>
        <w:tblStyle w:val="TableGrid"/>
        <w:tblW w:w="0" w:type="auto"/>
        <w:jc w:val="center"/>
        <w:tblLook w:val="04A0" w:firstRow="1" w:lastRow="0" w:firstColumn="1" w:lastColumn="0" w:noHBand="0" w:noVBand="1"/>
      </w:tblPr>
      <w:tblGrid>
        <w:gridCol w:w="2268"/>
        <w:gridCol w:w="2268"/>
        <w:gridCol w:w="2268"/>
      </w:tblGrid>
      <w:tr w:rsidR="00FB6398" w:rsidRPr="00432792" w14:paraId="03691B66" w14:textId="77777777" w:rsidTr="005942C8">
        <w:trPr>
          <w:jc w:val="center"/>
        </w:trPr>
        <w:tc>
          <w:tcPr>
            <w:tcW w:w="2268" w:type="dxa"/>
          </w:tcPr>
          <w:p w14:paraId="459D964C" w14:textId="77777777" w:rsidR="00FB6398" w:rsidRPr="00432792" w:rsidRDefault="00FB6398" w:rsidP="008079F0">
            <w:pPr>
              <w:jc w:val="center"/>
              <w:rPr>
                <w:rFonts w:cstheme="minorHAnsi"/>
                <w:b/>
                <w:sz w:val="20"/>
                <w:szCs w:val="20"/>
              </w:rPr>
            </w:pPr>
            <w:r w:rsidRPr="00432792">
              <w:rPr>
                <w:rFonts w:cstheme="minorHAnsi"/>
                <w:b/>
                <w:sz w:val="20"/>
                <w:szCs w:val="20"/>
              </w:rPr>
              <w:t>Number of Individuals on the Oxford Self and Custom Build Register</w:t>
            </w:r>
          </w:p>
        </w:tc>
        <w:tc>
          <w:tcPr>
            <w:tcW w:w="2268" w:type="dxa"/>
          </w:tcPr>
          <w:p w14:paraId="499BAD96" w14:textId="11E7CD57" w:rsidR="00FB6398" w:rsidRPr="00432792" w:rsidRDefault="00FB6398" w:rsidP="008079F0">
            <w:pPr>
              <w:jc w:val="center"/>
              <w:rPr>
                <w:rFonts w:cstheme="minorHAnsi"/>
                <w:b/>
                <w:sz w:val="20"/>
                <w:szCs w:val="20"/>
              </w:rPr>
            </w:pPr>
            <w:r w:rsidRPr="00432792">
              <w:rPr>
                <w:rFonts w:cstheme="minorHAnsi"/>
                <w:b/>
                <w:sz w:val="20"/>
                <w:szCs w:val="20"/>
              </w:rPr>
              <w:t>Number of associations of individuals on the Oxford Self and Custom Build Register</w:t>
            </w:r>
          </w:p>
        </w:tc>
        <w:tc>
          <w:tcPr>
            <w:tcW w:w="2268" w:type="dxa"/>
          </w:tcPr>
          <w:p w14:paraId="745F345F" w14:textId="77777777" w:rsidR="00FB6398" w:rsidRPr="00432792" w:rsidRDefault="00FB6398" w:rsidP="008079F0">
            <w:pPr>
              <w:jc w:val="center"/>
              <w:rPr>
                <w:rFonts w:cstheme="minorHAnsi"/>
                <w:b/>
                <w:sz w:val="20"/>
                <w:szCs w:val="20"/>
              </w:rPr>
            </w:pPr>
            <w:r w:rsidRPr="00432792">
              <w:rPr>
                <w:rFonts w:cstheme="minorHAnsi"/>
                <w:b/>
                <w:sz w:val="20"/>
                <w:szCs w:val="20"/>
              </w:rPr>
              <w:t>Total number of plots required</w:t>
            </w:r>
          </w:p>
        </w:tc>
      </w:tr>
      <w:tr w:rsidR="00FB6398" w:rsidRPr="00432792" w14:paraId="3547E7D9" w14:textId="77777777" w:rsidTr="005942C8">
        <w:trPr>
          <w:jc w:val="center"/>
        </w:trPr>
        <w:tc>
          <w:tcPr>
            <w:tcW w:w="2268" w:type="dxa"/>
          </w:tcPr>
          <w:p w14:paraId="724CC755" w14:textId="04BD39AF" w:rsidR="00FB6398" w:rsidRPr="00432792" w:rsidRDefault="00FB6398" w:rsidP="008079F0">
            <w:pPr>
              <w:jc w:val="center"/>
              <w:rPr>
                <w:rFonts w:cstheme="minorHAnsi"/>
                <w:sz w:val="20"/>
                <w:szCs w:val="20"/>
              </w:rPr>
            </w:pPr>
            <w:r w:rsidRPr="00432792">
              <w:rPr>
                <w:rFonts w:cstheme="minorHAnsi"/>
                <w:sz w:val="20"/>
                <w:szCs w:val="20"/>
              </w:rPr>
              <w:t>109 individuals</w:t>
            </w:r>
          </w:p>
        </w:tc>
        <w:tc>
          <w:tcPr>
            <w:tcW w:w="2268" w:type="dxa"/>
          </w:tcPr>
          <w:p w14:paraId="0687F953" w14:textId="77777777" w:rsidR="00FB6398" w:rsidRPr="00432792" w:rsidRDefault="00FB6398" w:rsidP="008079F0">
            <w:pPr>
              <w:jc w:val="center"/>
              <w:rPr>
                <w:rFonts w:cstheme="minorHAnsi"/>
                <w:sz w:val="20"/>
                <w:szCs w:val="20"/>
              </w:rPr>
            </w:pPr>
            <w:r w:rsidRPr="00432792">
              <w:rPr>
                <w:rFonts w:cstheme="minorHAnsi"/>
                <w:sz w:val="20"/>
                <w:szCs w:val="20"/>
              </w:rPr>
              <w:t>1 Association(s)</w:t>
            </w:r>
          </w:p>
          <w:p w14:paraId="297498EE" w14:textId="77777777" w:rsidR="00FB6398" w:rsidRPr="00432792" w:rsidRDefault="00FB6398" w:rsidP="008079F0">
            <w:pPr>
              <w:jc w:val="center"/>
              <w:rPr>
                <w:rFonts w:cstheme="minorHAnsi"/>
                <w:sz w:val="20"/>
                <w:szCs w:val="20"/>
              </w:rPr>
            </w:pPr>
            <w:r w:rsidRPr="00432792">
              <w:rPr>
                <w:rFonts w:cstheme="minorHAnsi"/>
                <w:sz w:val="20"/>
                <w:szCs w:val="20"/>
              </w:rPr>
              <w:t>(20 association members)</w:t>
            </w:r>
          </w:p>
        </w:tc>
        <w:tc>
          <w:tcPr>
            <w:tcW w:w="2268" w:type="dxa"/>
          </w:tcPr>
          <w:p w14:paraId="791BA9A4" w14:textId="77777777" w:rsidR="00FB6398" w:rsidRPr="00432792" w:rsidRDefault="00FB6398" w:rsidP="008079F0">
            <w:pPr>
              <w:jc w:val="center"/>
              <w:rPr>
                <w:rFonts w:cstheme="minorHAnsi"/>
                <w:sz w:val="20"/>
                <w:szCs w:val="20"/>
              </w:rPr>
            </w:pPr>
            <w:r w:rsidRPr="00432792">
              <w:rPr>
                <w:rFonts w:cstheme="minorHAnsi"/>
                <w:sz w:val="20"/>
                <w:szCs w:val="20"/>
              </w:rPr>
              <w:t>139 plots (34% increase from previous monitoring year)</w:t>
            </w:r>
          </w:p>
        </w:tc>
      </w:tr>
    </w:tbl>
    <w:p w14:paraId="7913EE7C" w14:textId="708088CB" w:rsidR="00FB6398" w:rsidRPr="00E46DC8" w:rsidRDefault="00FB6398" w:rsidP="0032728C">
      <w:pPr>
        <w:spacing w:before="240"/>
        <w:jc w:val="center"/>
        <w:rPr>
          <w:sz w:val="20"/>
          <w:szCs w:val="20"/>
        </w:rPr>
      </w:pPr>
      <w:r w:rsidRPr="00E46DC8">
        <w:rPr>
          <w:b/>
          <w:bCs/>
          <w:sz w:val="20"/>
          <w:szCs w:val="20"/>
        </w:rPr>
        <w:t xml:space="preserve">Table </w:t>
      </w:r>
      <w:r w:rsidR="000109E8">
        <w:rPr>
          <w:b/>
          <w:bCs/>
          <w:sz w:val="20"/>
          <w:szCs w:val="20"/>
        </w:rPr>
        <w:t>15</w:t>
      </w:r>
      <w:r w:rsidRPr="00E46DC8">
        <w:rPr>
          <w:b/>
          <w:bCs/>
          <w:sz w:val="20"/>
          <w:szCs w:val="20"/>
        </w:rPr>
        <w:t>:</w:t>
      </w:r>
      <w:r w:rsidRPr="00E46DC8">
        <w:rPr>
          <w:sz w:val="20"/>
          <w:szCs w:val="20"/>
        </w:rPr>
        <w:t xml:space="preserve"> Oxford’s Self and Custom Build Register Headline Information (at 31</w:t>
      </w:r>
      <w:r w:rsidRPr="00E46DC8">
        <w:rPr>
          <w:sz w:val="20"/>
          <w:szCs w:val="20"/>
          <w:vertAlign w:val="superscript"/>
        </w:rPr>
        <w:t>st</w:t>
      </w:r>
      <w:r w:rsidRPr="00E46DC8">
        <w:rPr>
          <w:sz w:val="20"/>
          <w:szCs w:val="20"/>
        </w:rPr>
        <w:t xml:space="preserve"> March 2021)</w:t>
      </w:r>
    </w:p>
    <w:p w14:paraId="0CB0F393" w14:textId="77777777" w:rsidR="00FB6398" w:rsidRPr="00432792" w:rsidRDefault="00FB6398" w:rsidP="73C076F8">
      <w:pPr>
        <w:pStyle w:val="Heading2"/>
      </w:pPr>
      <w:bookmarkStart w:id="40" w:name="_Toc88135858"/>
      <w:r>
        <w:t>Provision of New Student Accommodation</w:t>
      </w:r>
      <w:bookmarkEnd w:id="40"/>
    </w:p>
    <w:p w14:paraId="7B7D10DC" w14:textId="1B3D7945" w:rsidR="00FB6398"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Over the 2020/21 monitoring year, there were 8 planning permissions that involved the provision of student accommodation.  Table </w:t>
      </w:r>
      <w:r w:rsidR="000109E8" w:rsidRPr="0012619C">
        <w:rPr>
          <w:rFonts w:eastAsiaTheme="minorEastAsia"/>
        </w:rPr>
        <w:t>16</w:t>
      </w:r>
      <w:r w:rsidRPr="0012619C">
        <w:rPr>
          <w:rFonts w:eastAsiaTheme="minorEastAsia"/>
        </w:rPr>
        <w:t xml:space="preserve"> below sets out whether these were compliant with the requirements of policy H8 which seeks to limit the provision of new student accommodation to designated sites within the city.  </w:t>
      </w:r>
      <w:r w:rsidR="5AF501F1" w:rsidRPr="0012619C">
        <w:rPr>
          <w:rFonts w:eastAsiaTheme="minorEastAsia"/>
        </w:rPr>
        <w:t>This replaced</w:t>
      </w:r>
      <w:r w:rsidR="265C5F2F" w:rsidRPr="0012619C">
        <w:rPr>
          <w:rFonts w:eastAsiaTheme="minorEastAsia"/>
        </w:rPr>
        <w:t xml:space="preserve"> and added further restrictions to</w:t>
      </w:r>
      <w:r w:rsidR="5AF501F1" w:rsidRPr="0012619C">
        <w:rPr>
          <w:rFonts w:eastAsiaTheme="minorEastAsia"/>
        </w:rPr>
        <w:t xml:space="preserve"> Policy H</w:t>
      </w:r>
      <w:r w:rsidR="1F48BE31" w:rsidRPr="0012619C">
        <w:rPr>
          <w:rFonts w:eastAsiaTheme="minorEastAsia"/>
        </w:rPr>
        <w:t>P5</w:t>
      </w:r>
      <w:r w:rsidR="52C05918" w:rsidRPr="0012619C">
        <w:rPr>
          <w:rFonts w:eastAsiaTheme="minorEastAsia"/>
        </w:rPr>
        <w:t xml:space="preserve"> of the Sites and Housing Plan 2011-2026</w:t>
      </w:r>
      <w:r w:rsidR="1F48BE31" w:rsidRPr="0012619C">
        <w:rPr>
          <w:rFonts w:eastAsiaTheme="minorEastAsia"/>
        </w:rPr>
        <w:t xml:space="preserve">. </w:t>
      </w:r>
    </w:p>
    <w:tbl>
      <w:tblPr>
        <w:tblStyle w:val="TableGrid"/>
        <w:tblW w:w="7587" w:type="dxa"/>
        <w:jc w:val="center"/>
        <w:tblLook w:val="04A0" w:firstRow="1" w:lastRow="0" w:firstColumn="1" w:lastColumn="0" w:noHBand="0" w:noVBand="1"/>
      </w:tblPr>
      <w:tblGrid>
        <w:gridCol w:w="1385"/>
        <w:gridCol w:w="1383"/>
        <w:gridCol w:w="1701"/>
        <w:gridCol w:w="1134"/>
        <w:gridCol w:w="1984"/>
      </w:tblGrid>
      <w:tr w:rsidR="00FB6398" w:rsidRPr="00432792" w14:paraId="3D51625F" w14:textId="77777777" w:rsidTr="001867F8">
        <w:trPr>
          <w:tblHeader/>
          <w:jc w:val="center"/>
        </w:trPr>
        <w:tc>
          <w:tcPr>
            <w:tcW w:w="1385" w:type="dxa"/>
          </w:tcPr>
          <w:p w14:paraId="083FDDD2" w14:textId="77777777" w:rsidR="00FB6398" w:rsidRPr="00432792" w:rsidRDefault="00FB6398" w:rsidP="008079F0">
            <w:pPr>
              <w:jc w:val="center"/>
              <w:rPr>
                <w:rStyle w:val="casenumber"/>
                <w:rFonts w:cstheme="minorHAnsi"/>
                <w:b/>
                <w:color w:val="333333"/>
                <w:sz w:val="20"/>
                <w:szCs w:val="20"/>
                <w:shd w:val="clear" w:color="auto" w:fill="FFFFFF"/>
              </w:rPr>
            </w:pPr>
            <w:r w:rsidRPr="00432792">
              <w:rPr>
                <w:rStyle w:val="casenumber"/>
                <w:rFonts w:cstheme="minorHAnsi"/>
                <w:b/>
                <w:color w:val="333333"/>
                <w:sz w:val="20"/>
                <w:szCs w:val="20"/>
                <w:shd w:val="clear" w:color="auto" w:fill="FFFFFF"/>
              </w:rPr>
              <w:t>Application reference</w:t>
            </w:r>
          </w:p>
        </w:tc>
        <w:tc>
          <w:tcPr>
            <w:tcW w:w="1383" w:type="dxa"/>
          </w:tcPr>
          <w:p w14:paraId="152D754B" w14:textId="77777777" w:rsidR="00FB6398" w:rsidRPr="00432792" w:rsidRDefault="00FB6398" w:rsidP="008079F0">
            <w:pPr>
              <w:jc w:val="center"/>
              <w:rPr>
                <w:rStyle w:val="casenumber"/>
                <w:rFonts w:cstheme="minorHAnsi"/>
                <w:b/>
                <w:color w:val="333333"/>
                <w:sz w:val="20"/>
                <w:szCs w:val="20"/>
                <w:shd w:val="clear" w:color="auto" w:fill="FFFFFF"/>
              </w:rPr>
            </w:pPr>
            <w:r w:rsidRPr="00432792">
              <w:rPr>
                <w:rStyle w:val="casenumber"/>
                <w:rFonts w:cstheme="minorHAnsi"/>
                <w:b/>
                <w:color w:val="333333"/>
                <w:sz w:val="20"/>
                <w:szCs w:val="20"/>
                <w:shd w:val="clear" w:color="auto" w:fill="FFFFFF"/>
              </w:rPr>
              <w:t>Site location</w:t>
            </w:r>
          </w:p>
        </w:tc>
        <w:tc>
          <w:tcPr>
            <w:tcW w:w="1701" w:type="dxa"/>
          </w:tcPr>
          <w:p w14:paraId="0BF973F9" w14:textId="77777777" w:rsidR="00FB6398" w:rsidRPr="00432792" w:rsidRDefault="00FB6398" w:rsidP="008079F0">
            <w:pPr>
              <w:jc w:val="center"/>
              <w:rPr>
                <w:rStyle w:val="casenumber"/>
                <w:rFonts w:cstheme="minorHAnsi"/>
                <w:b/>
                <w:color w:val="333333"/>
                <w:sz w:val="20"/>
                <w:szCs w:val="20"/>
                <w:shd w:val="clear" w:color="auto" w:fill="FFFFFF"/>
              </w:rPr>
            </w:pPr>
            <w:r w:rsidRPr="00432792">
              <w:rPr>
                <w:rStyle w:val="casenumber"/>
                <w:rFonts w:cstheme="minorHAnsi"/>
                <w:b/>
                <w:color w:val="333333"/>
                <w:sz w:val="20"/>
                <w:szCs w:val="20"/>
                <w:shd w:val="clear" w:color="auto" w:fill="FFFFFF"/>
              </w:rPr>
              <w:t>Development summary</w:t>
            </w:r>
          </w:p>
        </w:tc>
        <w:tc>
          <w:tcPr>
            <w:tcW w:w="1134" w:type="dxa"/>
          </w:tcPr>
          <w:p w14:paraId="7BE2D3FF" w14:textId="77777777" w:rsidR="00FB6398" w:rsidRPr="00432792" w:rsidRDefault="00FB6398" w:rsidP="008079F0">
            <w:pPr>
              <w:jc w:val="center"/>
              <w:rPr>
                <w:rStyle w:val="casenumber"/>
                <w:rFonts w:cstheme="minorHAnsi"/>
                <w:b/>
                <w:color w:val="333333"/>
                <w:sz w:val="20"/>
                <w:szCs w:val="20"/>
                <w:shd w:val="clear" w:color="auto" w:fill="FFFFFF"/>
              </w:rPr>
            </w:pPr>
            <w:r w:rsidRPr="00432792">
              <w:rPr>
                <w:rStyle w:val="casenumber"/>
                <w:rFonts w:cstheme="minorHAnsi"/>
                <w:b/>
                <w:color w:val="333333"/>
                <w:sz w:val="20"/>
                <w:szCs w:val="20"/>
                <w:shd w:val="clear" w:color="auto" w:fill="FFFFFF"/>
              </w:rPr>
              <w:t>Net increase/ decrease of rooms onsite</w:t>
            </w:r>
          </w:p>
        </w:tc>
        <w:tc>
          <w:tcPr>
            <w:tcW w:w="1984" w:type="dxa"/>
          </w:tcPr>
          <w:p w14:paraId="47EBD4D9" w14:textId="77777777" w:rsidR="00FB6398" w:rsidRPr="00432792" w:rsidRDefault="00FB6398" w:rsidP="008079F0">
            <w:pPr>
              <w:jc w:val="center"/>
              <w:rPr>
                <w:rStyle w:val="casenumber"/>
                <w:rFonts w:cstheme="minorHAnsi"/>
                <w:b/>
                <w:color w:val="333333"/>
                <w:sz w:val="20"/>
                <w:szCs w:val="20"/>
                <w:shd w:val="clear" w:color="auto" w:fill="FFFFFF"/>
              </w:rPr>
            </w:pPr>
            <w:r w:rsidRPr="00432792">
              <w:rPr>
                <w:rStyle w:val="casenumber"/>
                <w:rFonts w:cstheme="minorHAnsi"/>
                <w:b/>
                <w:color w:val="333333"/>
                <w:sz w:val="20"/>
                <w:szCs w:val="20"/>
                <w:shd w:val="clear" w:color="auto" w:fill="FFFFFF"/>
              </w:rPr>
              <w:t>Compliance with policy H8 criteria</w:t>
            </w:r>
          </w:p>
        </w:tc>
      </w:tr>
      <w:tr w:rsidR="00FB6398" w:rsidRPr="00432792" w14:paraId="3346BAA1" w14:textId="77777777" w:rsidTr="001867F8">
        <w:trPr>
          <w:jc w:val="center"/>
        </w:trPr>
        <w:tc>
          <w:tcPr>
            <w:tcW w:w="1385" w:type="dxa"/>
          </w:tcPr>
          <w:p w14:paraId="7637B2AC"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20/02279/FUL</w:t>
            </w:r>
          </w:p>
        </w:tc>
        <w:tc>
          <w:tcPr>
            <w:tcW w:w="1383" w:type="dxa"/>
          </w:tcPr>
          <w:p w14:paraId="51CE5A5B"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address"/>
                <w:rFonts w:cstheme="minorHAnsi"/>
                <w:color w:val="333333"/>
                <w:sz w:val="20"/>
                <w:szCs w:val="20"/>
                <w:shd w:val="clear" w:color="auto" w:fill="FFFFFF"/>
              </w:rPr>
              <w:t>Trinity College Broad Street Oxford OX1 3BH</w:t>
            </w:r>
          </w:p>
        </w:tc>
        <w:tc>
          <w:tcPr>
            <w:tcW w:w="1701" w:type="dxa"/>
          </w:tcPr>
          <w:p w14:paraId="746D4838" w14:textId="6638EAAE" w:rsidR="00FB6398" w:rsidRPr="00432792" w:rsidRDefault="00FB6398" w:rsidP="008079F0">
            <w:pPr>
              <w:jc w:val="center"/>
              <w:rPr>
                <w:rStyle w:val="casenumber"/>
                <w:rFonts w:cstheme="minorHAnsi"/>
                <w:color w:val="333333"/>
                <w:sz w:val="20"/>
                <w:szCs w:val="20"/>
                <w:shd w:val="clear" w:color="auto" w:fill="FFFFFF"/>
              </w:rPr>
            </w:pPr>
            <w:r w:rsidRPr="00432792">
              <w:rPr>
                <w:rStyle w:val="description"/>
                <w:rFonts w:cstheme="minorHAnsi"/>
                <w:color w:val="333333"/>
                <w:sz w:val="20"/>
                <w:szCs w:val="20"/>
                <w:shd w:val="clear" w:color="auto" w:fill="FFFFFF"/>
              </w:rPr>
              <w:t>Conversion of rooms 12 to 18 on level 2 of Staircase 11 from student bedrooms to Fellows offices.</w:t>
            </w:r>
          </w:p>
        </w:tc>
        <w:tc>
          <w:tcPr>
            <w:tcW w:w="1134" w:type="dxa"/>
          </w:tcPr>
          <w:p w14:paraId="1F789384"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-2</w:t>
            </w:r>
          </w:p>
        </w:tc>
        <w:tc>
          <w:tcPr>
            <w:tcW w:w="1984" w:type="dxa"/>
          </w:tcPr>
          <w:p w14:paraId="6FBFFC80" w14:textId="0969DCEE" w:rsidR="00FB6398" w:rsidRPr="00432792" w:rsidRDefault="00FB6398" w:rsidP="008079F0">
            <w:pPr>
              <w:jc w:val="center"/>
              <w:rPr>
                <w:rStyle w:val="casenumber"/>
                <w:color w:val="333333"/>
                <w:sz w:val="20"/>
                <w:szCs w:val="20"/>
                <w:shd w:val="clear" w:color="auto" w:fill="FFFFFF"/>
              </w:rPr>
            </w:pPr>
            <w:r w:rsidRPr="73C076F8">
              <w:rPr>
                <w:rStyle w:val="casenumber"/>
                <w:color w:val="333333"/>
                <w:sz w:val="20"/>
                <w:szCs w:val="20"/>
                <w:shd w:val="clear" w:color="auto" w:fill="FFFFFF"/>
              </w:rPr>
              <w:t xml:space="preserve">Yes (even though there is a net loss, the </w:t>
            </w:r>
            <w:r w:rsidR="27A3D35C" w:rsidRPr="73C076F8">
              <w:rPr>
                <w:rStyle w:val="casenumber"/>
                <w:color w:val="333333"/>
                <w:sz w:val="20"/>
                <w:szCs w:val="20"/>
                <w:shd w:val="clear" w:color="auto" w:fill="FFFFFF"/>
              </w:rPr>
              <w:t xml:space="preserve">existing </w:t>
            </w:r>
            <w:r w:rsidRPr="73C076F8">
              <w:rPr>
                <w:rStyle w:val="casenumber"/>
                <w:color w:val="333333"/>
                <w:sz w:val="20"/>
                <w:szCs w:val="20"/>
                <w:shd w:val="clear" w:color="auto" w:fill="FFFFFF"/>
              </w:rPr>
              <w:t>rooms were not considered to provide high quality accommodation due to an awkward layout.  Substantial new and higher quality accommodation is also provided on this site via another application.)</w:t>
            </w:r>
          </w:p>
        </w:tc>
      </w:tr>
      <w:tr w:rsidR="00FB6398" w:rsidRPr="00432792" w14:paraId="2AA9497C" w14:textId="77777777" w:rsidTr="001867F8">
        <w:trPr>
          <w:jc w:val="center"/>
        </w:trPr>
        <w:tc>
          <w:tcPr>
            <w:tcW w:w="1385" w:type="dxa"/>
          </w:tcPr>
          <w:p w14:paraId="3B727D58"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20/01019/FUL</w:t>
            </w:r>
          </w:p>
        </w:tc>
        <w:tc>
          <w:tcPr>
            <w:tcW w:w="1383" w:type="dxa"/>
          </w:tcPr>
          <w:p w14:paraId="323F5E0E"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address"/>
                <w:rFonts w:cstheme="minorHAnsi"/>
                <w:color w:val="333333"/>
                <w:sz w:val="20"/>
                <w:szCs w:val="20"/>
                <w:shd w:val="clear" w:color="auto" w:fill="FFFFFF"/>
              </w:rPr>
              <w:t>49-56 High Street Oxford Oxfordshire OX1 4AP</w:t>
            </w:r>
          </w:p>
        </w:tc>
        <w:tc>
          <w:tcPr>
            <w:tcW w:w="1701" w:type="dxa"/>
          </w:tcPr>
          <w:p w14:paraId="440804B2" w14:textId="308FFD5D" w:rsidR="00FB6398" w:rsidRPr="00432792" w:rsidRDefault="00FB6398" w:rsidP="008079F0">
            <w:pPr>
              <w:jc w:val="center"/>
              <w:rPr>
                <w:rStyle w:val="casenumber"/>
                <w:rFonts w:cstheme="minorHAnsi"/>
                <w:color w:val="333333"/>
                <w:sz w:val="20"/>
                <w:szCs w:val="20"/>
                <w:shd w:val="clear" w:color="auto" w:fill="FFFFFF"/>
              </w:rPr>
            </w:pPr>
            <w:r w:rsidRPr="00432792">
              <w:rPr>
                <w:rStyle w:val="description"/>
                <w:rFonts w:cstheme="minorHAnsi"/>
                <w:color w:val="333333"/>
                <w:sz w:val="20"/>
                <w:szCs w:val="20"/>
                <w:shd w:val="clear" w:color="auto" w:fill="FFFFFF"/>
              </w:rPr>
              <w:t xml:space="preserve">Conversion of the 1st, 2nd &amp; 3rd floor college accommodation to create no. 52 student rooms and academic staff offices and </w:t>
            </w:r>
            <w:r w:rsidRPr="00432792">
              <w:rPr>
                <w:rStyle w:val="description"/>
                <w:rFonts w:cstheme="minorHAnsi"/>
                <w:color w:val="333333"/>
                <w:sz w:val="20"/>
                <w:szCs w:val="20"/>
                <w:shd w:val="clear" w:color="auto" w:fill="FFFFFF"/>
              </w:rPr>
              <w:lastRenderedPageBreak/>
              <w:t>ancillary teaching rooms.</w:t>
            </w:r>
          </w:p>
        </w:tc>
        <w:tc>
          <w:tcPr>
            <w:tcW w:w="1134" w:type="dxa"/>
          </w:tcPr>
          <w:p w14:paraId="02A8F0B1"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lastRenderedPageBreak/>
              <w:t>52</w:t>
            </w:r>
          </w:p>
        </w:tc>
        <w:tc>
          <w:tcPr>
            <w:tcW w:w="1984" w:type="dxa"/>
          </w:tcPr>
          <w:p w14:paraId="2626697B"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Yes</w:t>
            </w:r>
          </w:p>
        </w:tc>
      </w:tr>
      <w:tr w:rsidR="00FB6398" w:rsidRPr="00432792" w14:paraId="3E9ECC51" w14:textId="77777777" w:rsidTr="001867F8">
        <w:trPr>
          <w:jc w:val="center"/>
        </w:trPr>
        <w:tc>
          <w:tcPr>
            <w:tcW w:w="1385" w:type="dxa"/>
          </w:tcPr>
          <w:p w14:paraId="3B74F490"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lastRenderedPageBreak/>
              <w:t>20/00898/FUL</w:t>
            </w:r>
          </w:p>
        </w:tc>
        <w:tc>
          <w:tcPr>
            <w:tcW w:w="1383" w:type="dxa"/>
          </w:tcPr>
          <w:p w14:paraId="10D6FBFA" w14:textId="77777777" w:rsidR="00FB6398" w:rsidRPr="00432792" w:rsidRDefault="00FB6398" w:rsidP="008079F0">
            <w:pPr>
              <w:jc w:val="center"/>
              <w:rPr>
                <w:rStyle w:val="address"/>
                <w:rFonts w:cstheme="minorHAnsi"/>
                <w:color w:val="333333"/>
                <w:sz w:val="20"/>
                <w:szCs w:val="20"/>
                <w:shd w:val="clear" w:color="auto" w:fill="FFFFFF"/>
              </w:rPr>
            </w:pPr>
            <w:r w:rsidRPr="00432792">
              <w:rPr>
                <w:rStyle w:val="address"/>
                <w:rFonts w:cstheme="minorHAnsi"/>
                <w:color w:val="333333"/>
                <w:sz w:val="20"/>
                <w:szCs w:val="20"/>
                <w:shd w:val="clear" w:color="auto" w:fill="FFFFFF"/>
              </w:rPr>
              <w:t>14 King Edward Street Oxford OX1 4HT</w:t>
            </w:r>
          </w:p>
        </w:tc>
        <w:tc>
          <w:tcPr>
            <w:tcW w:w="1701" w:type="dxa"/>
          </w:tcPr>
          <w:p w14:paraId="228D5A1F" w14:textId="1EF79EB2" w:rsidR="00FB6398" w:rsidRPr="00432792" w:rsidRDefault="00FB6398" w:rsidP="008079F0">
            <w:pPr>
              <w:jc w:val="center"/>
              <w:rPr>
                <w:rStyle w:val="description"/>
                <w:rFonts w:cstheme="minorHAnsi"/>
                <w:color w:val="333333"/>
                <w:sz w:val="20"/>
                <w:szCs w:val="20"/>
                <w:shd w:val="clear" w:color="auto" w:fill="FFFFFF"/>
              </w:rPr>
            </w:pPr>
            <w:r w:rsidRPr="00432792">
              <w:rPr>
                <w:rStyle w:val="description"/>
                <w:rFonts w:cstheme="minorHAnsi"/>
                <w:color w:val="333333"/>
                <w:sz w:val="20"/>
                <w:szCs w:val="20"/>
                <w:shd w:val="clear" w:color="auto" w:fill="FFFFFF"/>
              </w:rPr>
              <w:t>Change of use from offices and teaching accommodation to student accommodation with ancillary teaching space.</w:t>
            </w:r>
          </w:p>
        </w:tc>
        <w:tc>
          <w:tcPr>
            <w:tcW w:w="1134" w:type="dxa"/>
          </w:tcPr>
          <w:p w14:paraId="23C728DC"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7</w:t>
            </w:r>
          </w:p>
        </w:tc>
        <w:tc>
          <w:tcPr>
            <w:tcW w:w="1984" w:type="dxa"/>
          </w:tcPr>
          <w:p w14:paraId="2A775258" w14:textId="0C949D1F" w:rsidR="00FB6398" w:rsidRPr="00432792" w:rsidRDefault="35B8BBBA" w:rsidP="008079F0">
            <w:pPr>
              <w:jc w:val="center"/>
              <w:rPr>
                <w:rStyle w:val="casenumber"/>
                <w:color w:val="333333"/>
                <w:sz w:val="20"/>
                <w:szCs w:val="20"/>
                <w:shd w:val="clear" w:color="auto" w:fill="FFFFFF"/>
              </w:rPr>
            </w:pPr>
            <w:r w:rsidRPr="108EF35C">
              <w:rPr>
                <w:rStyle w:val="casenumber"/>
                <w:color w:val="333333"/>
                <w:sz w:val="20"/>
                <w:szCs w:val="20"/>
                <w:shd w:val="clear" w:color="auto" w:fill="FFFFFF"/>
              </w:rPr>
              <w:t>Decided under previous policies</w:t>
            </w:r>
            <w:r w:rsidR="14C3EDCB" w:rsidRPr="73C076F8">
              <w:rPr>
                <w:rStyle w:val="casenumber"/>
                <w:color w:val="333333"/>
                <w:sz w:val="20"/>
                <w:szCs w:val="20"/>
              </w:rPr>
              <w:t>. In compliance with HP5</w:t>
            </w:r>
          </w:p>
        </w:tc>
      </w:tr>
      <w:tr w:rsidR="00FB6398" w:rsidRPr="00432792" w14:paraId="432A2838" w14:textId="77777777" w:rsidTr="001867F8">
        <w:trPr>
          <w:jc w:val="center"/>
        </w:trPr>
        <w:tc>
          <w:tcPr>
            <w:tcW w:w="1385" w:type="dxa"/>
          </w:tcPr>
          <w:p w14:paraId="6D110ACD"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20/00843/FUL</w:t>
            </w:r>
          </w:p>
        </w:tc>
        <w:tc>
          <w:tcPr>
            <w:tcW w:w="1383" w:type="dxa"/>
          </w:tcPr>
          <w:p w14:paraId="41D85056" w14:textId="77777777" w:rsidR="00FB6398" w:rsidRPr="00432792" w:rsidRDefault="00FB6398" w:rsidP="008079F0">
            <w:pPr>
              <w:jc w:val="center"/>
              <w:rPr>
                <w:rStyle w:val="address"/>
                <w:rFonts w:cstheme="minorHAnsi"/>
                <w:color w:val="333333"/>
                <w:sz w:val="20"/>
                <w:szCs w:val="20"/>
                <w:shd w:val="clear" w:color="auto" w:fill="FFFFFF"/>
              </w:rPr>
            </w:pPr>
            <w:r w:rsidRPr="00432792">
              <w:rPr>
                <w:rStyle w:val="address"/>
                <w:rFonts w:cstheme="minorHAnsi"/>
                <w:color w:val="333333"/>
                <w:sz w:val="20"/>
                <w:szCs w:val="20"/>
                <w:shd w:val="clear" w:color="auto" w:fill="FFFFFF"/>
              </w:rPr>
              <w:t xml:space="preserve">164 </w:t>
            </w:r>
            <w:proofErr w:type="spellStart"/>
            <w:r w:rsidRPr="00432792">
              <w:rPr>
                <w:rStyle w:val="address"/>
                <w:rFonts w:cstheme="minorHAnsi"/>
                <w:color w:val="333333"/>
                <w:sz w:val="20"/>
                <w:szCs w:val="20"/>
                <w:shd w:val="clear" w:color="auto" w:fill="FFFFFF"/>
              </w:rPr>
              <w:t>Cowley</w:t>
            </w:r>
            <w:proofErr w:type="spellEnd"/>
            <w:r w:rsidRPr="00432792">
              <w:rPr>
                <w:rStyle w:val="address"/>
                <w:rFonts w:cstheme="minorHAnsi"/>
                <w:color w:val="333333"/>
                <w:sz w:val="20"/>
                <w:szCs w:val="20"/>
                <w:shd w:val="clear" w:color="auto" w:fill="FFFFFF"/>
              </w:rPr>
              <w:t xml:space="preserve"> Road Oxford OX4 1UE</w:t>
            </w:r>
          </w:p>
        </w:tc>
        <w:tc>
          <w:tcPr>
            <w:tcW w:w="1701" w:type="dxa"/>
          </w:tcPr>
          <w:p w14:paraId="228EC272" w14:textId="1C8FD833" w:rsidR="00FB6398" w:rsidRPr="00432792" w:rsidRDefault="00FB6398" w:rsidP="008079F0">
            <w:pPr>
              <w:jc w:val="center"/>
              <w:rPr>
                <w:rStyle w:val="description"/>
                <w:rFonts w:cstheme="minorHAnsi"/>
                <w:color w:val="333333"/>
                <w:sz w:val="20"/>
                <w:szCs w:val="20"/>
                <w:shd w:val="clear" w:color="auto" w:fill="FFFFFF"/>
              </w:rPr>
            </w:pPr>
            <w:r w:rsidRPr="00432792">
              <w:rPr>
                <w:rStyle w:val="description"/>
                <w:rFonts w:cstheme="minorHAnsi"/>
                <w:color w:val="333333"/>
                <w:sz w:val="20"/>
                <w:szCs w:val="20"/>
                <w:shd w:val="clear" w:color="auto" w:fill="FFFFFF"/>
              </w:rPr>
              <w:t>Change of use of first floor from office (Use Class B1) to student accommodation (Sui Generis).</w:t>
            </w:r>
          </w:p>
        </w:tc>
        <w:tc>
          <w:tcPr>
            <w:tcW w:w="1134" w:type="dxa"/>
          </w:tcPr>
          <w:p w14:paraId="59C642AA"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7</w:t>
            </w:r>
          </w:p>
        </w:tc>
        <w:tc>
          <w:tcPr>
            <w:tcW w:w="1984" w:type="dxa"/>
          </w:tcPr>
          <w:p w14:paraId="25F856E4"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Yes</w:t>
            </w:r>
          </w:p>
        </w:tc>
      </w:tr>
      <w:tr w:rsidR="00FB6398" w:rsidRPr="00432792" w14:paraId="4058846C" w14:textId="77777777" w:rsidTr="001867F8">
        <w:trPr>
          <w:jc w:val="center"/>
        </w:trPr>
        <w:tc>
          <w:tcPr>
            <w:tcW w:w="1385" w:type="dxa"/>
          </w:tcPr>
          <w:p w14:paraId="4355B972" w14:textId="5565E595"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20/00822/FUL</w:t>
            </w:r>
          </w:p>
        </w:tc>
        <w:tc>
          <w:tcPr>
            <w:tcW w:w="1383" w:type="dxa"/>
          </w:tcPr>
          <w:p w14:paraId="4AB820BB" w14:textId="77777777" w:rsidR="00FB6398" w:rsidRPr="00432792" w:rsidRDefault="00FB6398" w:rsidP="008079F0">
            <w:pPr>
              <w:jc w:val="center"/>
              <w:rPr>
                <w:rStyle w:val="address"/>
                <w:rFonts w:cstheme="minorHAnsi"/>
                <w:color w:val="333333"/>
                <w:sz w:val="20"/>
                <w:szCs w:val="20"/>
                <w:shd w:val="clear" w:color="auto" w:fill="FFFFFF"/>
              </w:rPr>
            </w:pPr>
            <w:r w:rsidRPr="00432792">
              <w:rPr>
                <w:rStyle w:val="address"/>
                <w:rFonts w:cstheme="minorHAnsi"/>
                <w:color w:val="333333"/>
                <w:sz w:val="20"/>
                <w:szCs w:val="20"/>
                <w:shd w:val="clear" w:color="auto" w:fill="FFFFFF"/>
              </w:rPr>
              <w:t>Linacre College St Cross Road Oxford OX1 3JA</w:t>
            </w:r>
          </w:p>
        </w:tc>
        <w:tc>
          <w:tcPr>
            <w:tcW w:w="1701" w:type="dxa"/>
          </w:tcPr>
          <w:p w14:paraId="14CC895E" w14:textId="412562CA" w:rsidR="00FB6398" w:rsidRPr="00432792" w:rsidRDefault="00FB6398" w:rsidP="008079F0">
            <w:pPr>
              <w:jc w:val="center"/>
              <w:rPr>
                <w:rStyle w:val="description"/>
                <w:rFonts w:cstheme="minorHAnsi"/>
                <w:color w:val="333333"/>
                <w:sz w:val="20"/>
                <w:szCs w:val="20"/>
                <w:shd w:val="clear" w:color="auto" w:fill="FFFFFF"/>
              </w:rPr>
            </w:pPr>
            <w:r w:rsidRPr="00432792">
              <w:rPr>
                <w:rStyle w:val="description"/>
                <w:rFonts w:cstheme="minorHAnsi"/>
                <w:color w:val="333333"/>
                <w:sz w:val="20"/>
                <w:szCs w:val="20"/>
                <w:shd w:val="clear" w:color="auto" w:fill="FFFFFF"/>
              </w:rPr>
              <w:t xml:space="preserve">Conversion of loft to create 4no. </w:t>
            </w:r>
            <w:proofErr w:type="gramStart"/>
            <w:r w:rsidRPr="00432792">
              <w:rPr>
                <w:rStyle w:val="description"/>
                <w:rFonts w:cstheme="minorHAnsi"/>
                <w:color w:val="333333"/>
                <w:sz w:val="20"/>
                <w:szCs w:val="20"/>
                <w:shd w:val="clear" w:color="auto" w:fill="FFFFFF"/>
              </w:rPr>
              <w:t>student</w:t>
            </w:r>
            <w:proofErr w:type="gramEnd"/>
            <w:r w:rsidRPr="00432792">
              <w:rPr>
                <w:rStyle w:val="description"/>
                <w:rFonts w:cstheme="minorHAnsi"/>
                <w:color w:val="333333"/>
                <w:sz w:val="20"/>
                <w:szCs w:val="20"/>
                <w:shd w:val="clear" w:color="auto" w:fill="FFFFFF"/>
              </w:rPr>
              <w:t xml:space="preserve"> bedrooms with shared bathroom and kitchen facilities and creation of 1no. </w:t>
            </w:r>
            <w:proofErr w:type="gramStart"/>
            <w:r w:rsidRPr="00432792">
              <w:rPr>
                <w:rStyle w:val="description"/>
                <w:rFonts w:cstheme="minorHAnsi"/>
                <w:color w:val="333333"/>
                <w:sz w:val="20"/>
                <w:szCs w:val="20"/>
                <w:shd w:val="clear" w:color="auto" w:fill="FFFFFF"/>
              </w:rPr>
              <w:t>additional</w:t>
            </w:r>
            <w:proofErr w:type="gramEnd"/>
            <w:r w:rsidRPr="00432792">
              <w:rPr>
                <w:rStyle w:val="description"/>
                <w:rFonts w:cstheme="minorHAnsi"/>
                <w:color w:val="333333"/>
                <w:sz w:val="20"/>
                <w:szCs w:val="20"/>
                <w:shd w:val="clear" w:color="auto" w:fill="FFFFFF"/>
              </w:rPr>
              <w:t xml:space="preserve"> student bedroom on the second floor of the OC Tanner Building.</w:t>
            </w:r>
          </w:p>
        </w:tc>
        <w:tc>
          <w:tcPr>
            <w:tcW w:w="1134" w:type="dxa"/>
          </w:tcPr>
          <w:p w14:paraId="05BE900D"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5</w:t>
            </w:r>
          </w:p>
        </w:tc>
        <w:tc>
          <w:tcPr>
            <w:tcW w:w="1984" w:type="dxa"/>
          </w:tcPr>
          <w:p w14:paraId="7AA8FF56"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Yes</w:t>
            </w:r>
          </w:p>
        </w:tc>
      </w:tr>
      <w:tr w:rsidR="00FB6398" w:rsidRPr="00432792" w14:paraId="17BE8536" w14:textId="77777777" w:rsidTr="001867F8">
        <w:trPr>
          <w:jc w:val="center"/>
        </w:trPr>
        <w:tc>
          <w:tcPr>
            <w:tcW w:w="1385" w:type="dxa"/>
          </w:tcPr>
          <w:p w14:paraId="1EDCF894" w14:textId="524BBB2B"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20/00116/FUL</w:t>
            </w:r>
          </w:p>
        </w:tc>
        <w:tc>
          <w:tcPr>
            <w:tcW w:w="1383" w:type="dxa"/>
          </w:tcPr>
          <w:p w14:paraId="1E391B56" w14:textId="77777777" w:rsidR="00FB6398" w:rsidRPr="00432792" w:rsidRDefault="00FB6398" w:rsidP="008079F0">
            <w:pPr>
              <w:jc w:val="center"/>
              <w:rPr>
                <w:rStyle w:val="address"/>
                <w:rFonts w:cstheme="minorHAnsi"/>
                <w:color w:val="333333"/>
                <w:sz w:val="20"/>
                <w:szCs w:val="20"/>
                <w:shd w:val="clear" w:color="auto" w:fill="FFFFFF"/>
              </w:rPr>
            </w:pPr>
            <w:r w:rsidRPr="00432792">
              <w:rPr>
                <w:rStyle w:val="address"/>
                <w:rFonts w:cstheme="minorHAnsi"/>
                <w:color w:val="333333"/>
                <w:sz w:val="20"/>
                <w:szCs w:val="20"/>
                <w:shd w:val="clear" w:color="auto" w:fill="FFFFFF"/>
              </w:rPr>
              <w:t>Fairfield, 115 Banbury Road Oxford Oxfordshire OX2 6LA</w:t>
            </w:r>
          </w:p>
        </w:tc>
        <w:tc>
          <w:tcPr>
            <w:tcW w:w="1701" w:type="dxa"/>
          </w:tcPr>
          <w:p w14:paraId="0FDA765B" w14:textId="77777777" w:rsidR="00FB6398" w:rsidRPr="00432792" w:rsidRDefault="00FB6398" w:rsidP="008079F0">
            <w:pPr>
              <w:jc w:val="center"/>
              <w:rPr>
                <w:rStyle w:val="description"/>
                <w:rFonts w:cstheme="minorHAnsi"/>
                <w:color w:val="333333"/>
                <w:sz w:val="20"/>
                <w:szCs w:val="20"/>
                <w:shd w:val="clear" w:color="auto" w:fill="FFFFFF"/>
              </w:rPr>
            </w:pPr>
            <w:r w:rsidRPr="00432792">
              <w:rPr>
                <w:rStyle w:val="description"/>
                <w:rFonts w:cstheme="minorHAnsi"/>
                <w:color w:val="333333"/>
                <w:sz w:val="20"/>
                <w:szCs w:val="20"/>
                <w:shd w:val="clear" w:color="auto" w:fill="FFFFFF"/>
              </w:rPr>
              <w:t>Full planning application for the erection of 7 x three storey buildings and internal and external alterations to old Fairfield House (115 Banbury Road) to form new student bedrooms/flats, with ancillary facilities.</w:t>
            </w:r>
          </w:p>
        </w:tc>
        <w:tc>
          <w:tcPr>
            <w:tcW w:w="1134" w:type="dxa"/>
          </w:tcPr>
          <w:p w14:paraId="4AFB38CE"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112</w:t>
            </w:r>
          </w:p>
        </w:tc>
        <w:tc>
          <w:tcPr>
            <w:tcW w:w="1984" w:type="dxa"/>
          </w:tcPr>
          <w:p w14:paraId="22BF1612"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Yes</w:t>
            </w:r>
          </w:p>
        </w:tc>
      </w:tr>
      <w:tr w:rsidR="00FB6398" w:rsidRPr="00432792" w14:paraId="101B8D7F" w14:textId="77777777" w:rsidTr="001867F8">
        <w:trPr>
          <w:jc w:val="center"/>
        </w:trPr>
        <w:tc>
          <w:tcPr>
            <w:tcW w:w="1385" w:type="dxa"/>
          </w:tcPr>
          <w:p w14:paraId="030925D6"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19/02306/FUL</w:t>
            </w:r>
          </w:p>
        </w:tc>
        <w:tc>
          <w:tcPr>
            <w:tcW w:w="1383" w:type="dxa"/>
          </w:tcPr>
          <w:p w14:paraId="10FD4595" w14:textId="77777777" w:rsidR="00FB6398" w:rsidRPr="00432792" w:rsidRDefault="00FB6398" w:rsidP="008079F0">
            <w:pPr>
              <w:jc w:val="center"/>
              <w:rPr>
                <w:rStyle w:val="address"/>
                <w:rFonts w:cstheme="minorHAnsi"/>
                <w:color w:val="333333"/>
                <w:sz w:val="20"/>
                <w:szCs w:val="20"/>
                <w:shd w:val="clear" w:color="auto" w:fill="FFFFFF"/>
              </w:rPr>
            </w:pPr>
            <w:r w:rsidRPr="00432792">
              <w:rPr>
                <w:rStyle w:val="address"/>
                <w:rFonts w:cstheme="minorHAnsi"/>
                <w:color w:val="333333"/>
                <w:sz w:val="20"/>
                <w:szCs w:val="20"/>
                <w:shd w:val="clear" w:color="auto" w:fill="FFFFFF"/>
              </w:rPr>
              <w:t>Castle Hill House 9 New Road Oxford Oxfordshire OX1 1LT</w:t>
            </w:r>
          </w:p>
        </w:tc>
        <w:tc>
          <w:tcPr>
            <w:tcW w:w="1701" w:type="dxa"/>
          </w:tcPr>
          <w:p w14:paraId="5F631981" w14:textId="77777777" w:rsidR="00FB6398" w:rsidRPr="00432792" w:rsidRDefault="00FB6398" w:rsidP="008079F0">
            <w:pPr>
              <w:jc w:val="center"/>
              <w:rPr>
                <w:rStyle w:val="description"/>
                <w:rFonts w:cstheme="minorHAnsi"/>
                <w:color w:val="333333"/>
                <w:sz w:val="20"/>
                <w:szCs w:val="20"/>
                <w:shd w:val="clear" w:color="auto" w:fill="FFFFFF"/>
              </w:rPr>
            </w:pPr>
            <w:r w:rsidRPr="00432792">
              <w:rPr>
                <w:rStyle w:val="description"/>
                <w:rFonts w:cstheme="minorHAnsi"/>
                <w:color w:val="333333"/>
                <w:sz w:val="20"/>
                <w:szCs w:val="20"/>
                <w:shd w:val="clear" w:color="auto" w:fill="FFFFFF"/>
              </w:rPr>
              <w:t xml:space="preserve">Redevelopment of the former Conservative Club building at Castle Hill House comprising demolition of </w:t>
            </w:r>
            <w:r w:rsidRPr="00432792">
              <w:rPr>
                <w:rStyle w:val="description"/>
                <w:rFonts w:cstheme="minorHAnsi"/>
                <w:color w:val="333333"/>
                <w:sz w:val="20"/>
                <w:szCs w:val="20"/>
                <w:shd w:val="clear" w:color="auto" w:fill="FFFFFF"/>
              </w:rPr>
              <w:lastRenderedPageBreak/>
              <w:t>existing building and erection of a new building providing 54 student study rooms, along with internal and external amenity space, landscaping improvements.</w:t>
            </w:r>
          </w:p>
        </w:tc>
        <w:tc>
          <w:tcPr>
            <w:tcW w:w="1134" w:type="dxa"/>
          </w:tcPr>
          <w:p w14:paraId="77D6596E"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lastRenderedPageBreak/>
              <w:t>54</w:t>
            </w:r>
          </w:p>
        </w:tc>
        <w:tc>
          <w:tcPr>
            <w:tcW w:w="1984" w:type="dxa"/>
          </w:tcPr>
          <w:p w14:paraId="7531BC8E"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Yes</w:t>
            </w:r>
          </w:p>
        </w:tc>
      </w:tr>
      <w:tr w:rsidR="00FB6398" w:rsidRPr="00432792" w14:paraId="4C21CCE7" w14:textId="77777777" w:rsidTr="001867F8">
        <w:trPr>
          <w:jc w:val="center"/>
        </w:trPr>
        <w:tc>
          <w:tcPr>
            <w:tcW w:w="1385" w:type="dxa"/>
          </w:tcPr>
          <w:p w14:paraId="0C1008FF"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lastRenderedPageBreak/>
              <w:t>19/02032/FUL</w:t>
            </w:r>
          </w:p>
        </w:tc>
        <w:tc>
          <w:tcPr>
            <w:tcW w:w="1383" w:type="dxa"/>
          </w:tcPr>
          <w:p w14:paraId="5E35D987" w14:textId="77777777" w:rsidR="00FB6398" w:rsidRPr="00432792" w:rsidRDefault="00FB6398" w:rsidP="008079F0">
            <w:pPr>
              <w:jc w:val="center"/>
              <w:rPr>
                <w:rStyle w:val="address"/>
                <w:rFonts w:cstheme="minorHAnsi"/>
                <w:color w:val="333333"/>
                <w:sz w:val="20"/>
                <w:szCs w:val="20"/>
                <w:shd w:val="clear" w:color="auto" w:fill="FFFFFF"/>
              </w:rPr>
            </w:pPr>
            <w:r w:rsidRPr="00432792">
              <w:rPr>
                <w:rStyle w:val="address"/>
                <w:rFonts w:cstheme="minorHAnsi"/>
                <w:color w:val="333333"/>
                <w:sz w:val="20"/>
                <w:szCs w:val="20"/>
                <w:shd w:val="clear" w:color="auto" w:fill="FFFFFF"/>
              </w:rPr>
              <w:t>Sir Geoffrey Arthur Building Long Ford Close Oxford OX1 4NJ</w:t>
            </w:r>
          </w:p>
        </w:tc>
        <w:tc>
          <w:tcPr>
            <w:tcW w:w="1701" w:type="dxa"/>
          </w:tcPr>
          <w:p w14:paraId="52E70767" w14:textId="77777777" w:rsidR="00FB6398" w:rsidRPr="00432792" w:rsidRDefault="00FB6398" w:rsidP="008079F0">
            <w:pPr>
              <w:jc w:val="center"/>
              <w:rPr>
                <w:rStyle w:val="description"/>
                <w:rFonts w:cstheme="minorHAnsi"/>
                <w:color w:val="333333"/>
                <w:sz w:val="20"/>
                <w:szCs w:val="20"/>
                <w:shd w:val="clear" w:color="auto" w:fill="FFFFFF"/>
              </w:rPr>
            </w:pPr>
            <w:r w:rsidRPr="00432792">
              <w:rPr>
                <w:rStyle w:val="description"/>
                <w:rFonts w:cstheme="minorHAnsi"/>
                <w:color w:val="333333"/>
                <w:sz w:val="20"/>
                <w:szCs w:val="20"/>
                <w:shd w:val="clear" w:color="auto" w:fill="FFFFFF"/>
              </w:rPr>
              <w:t>Demolition of existing accommodation building and music room block to ground floor level and erection of replacement buildings to create 77 student bedrooms, 8 studio rooms and ancillary provision for Pembroke College on the Geoffrey Arthur Site</w:t>
            </w:r>
          </w:p>
        </w:tc>
        <w:tc>
          <w:tcPr>
            <w:tcW w:w="1134" w:type="dxa"/>
          </w:tcPr>
          <w:p w14:paraId="0413E1D3" w14:textId="77777777" w:rsidR="00FB6398" w:rsidRPr="00432792" w:rsidRDefault="00FB6398" w:rsidP="008079F0">
            <w:pPr>
              <w:jc w:val="center"/>
              <w:rPr>
                <w:rStyle w:val="casenumber"/>
                <w:rFonts w:cstheme="minorHAnsi"/>
                <w:color w:val="333333"/>
                <w:sz w:val="20"/>
                <w:szCs w:val="20"/>
                <w:shd w:val="clear" w:color="auto" w:fill="FFFFFF"/>
              </w:rPr>
            </w:pPr>
            <w:r w:rsidRPr="00432792">
              <w:rPr>
                <w:rStyle w:val="casenumber"/>
                <w:rFonts w:cstheme="minorHAnsi"/>
                <w:color w:val="333333"/>
                <w:sz w:val="20"/>
                <w:szCs w:val="20"/>
                <w:shd w:val="clear" w:color="auto" w:fill="FFFFFF"/>
              </w:rPr>
              <w:t>77</w:t>
            </w:r>
          </w:p>
        </w:tc>
        <w:tc>
          <w:tcPr>
            <w:tcW w:w="1984" w:type="dxa"/>
          </w:tcPr>
          <w:p w14:paraId="09CB023E" w14:textId="3E584E04" w:rsidR="00FB6398" w:rsidRPr="00432792" w:rsidRDefault="35B8BBBA" w:rsidP="008079F0">
            <w:pPr>
              <w:jc w:val="center"/>
              <w:rPr>
                <w:rStyle w:val="casenumber"/>
                <w:color w:val="333333"/>
                <w:sz w:val="20"/>
                <w:szCs w:val="20"/>
                <w:shd w:val="clear" w:color="auto" w:fill="FFFFFF"/>
              </w:rPr>
            </w:pPr>
            <w:r w:rsidRPr="108EF35C">
              <w:rPr>
                <w:rStyle w:val="casenumber"/>
                <w:color w:val="333333"/>
                <w:sz w:val="20"/>
                <w:szCs w:val="20"/>
                <w:shd w:val="clear" w:color="auto" w:fill="FFFFFF"/>
              </w:rPr>
              <w:t>Decided under previous policies</w:t>
            </w:r>
            <w:r w:rsidR="2088E729" w:rsidRPr="73C076F8">
              <w:rPr>
                <w:rStyle w:val="casenumber"/>
                <w:color w:val="333333"/>
                <w:sz w:val="20"/>
                <w:szCs w:val="20"/>
              </w:rPr>
              <w:t>. In compliance with HP5.</w:t>
            </w:r>
          </w:p>
        </w:tc>
      </w:tr>
    </w:tbl>
    <w:p w14:paraId="47BEA597" w14:textId="6E4CBE5C" w:rsidR="00FB6398" w:rsidRPr="00E46DC8" w:rsidRDefault="00FB6398" w:rsidP="0032728C">
      <w:pPr>
        <w:spacing w:before="240"/>
        <w:jc w:val="center"/>
        <w:rPr>
          <w:rStyle w:val="casenumber"/>
          <w:sz w:val="20"/>
          <w:szCs w:val="20"/>
          <w:shd w:val="clear" w:color="auto" w:fill="FFFFFF"/>
        </w:rPr>
      </w:pPr>
      <w:r w:rsidRPr="00E46DC8">
        <w:rPr>
          <w:rStyle w:val="casenumber"/>
          <w:b/>
          <w:bCs/>
          <w:sz w:val="20"/>
          <w:szCs w:val="20"/>
          <w:shd w:val="clear" w:color="auto" w:fill="FFFFFF"/>
        </w:rPr>
        <w:t xml:space="preserve">Table </w:t>
      </w:r>
      <w:r w:rsidR="000109E8">
        <w:rPr>
          <w:rStyle w:val="casenumber"/>
          <w:b/>
          <w:bCs/>
          <w:sz w:val="20"/>
          <w:szCs w:val="20"/>
          <w:shd w:val="clear" w:color="auto" w:fill="FFFFFF"/>
        </w:rPr>
        <w:t>16</w:t>
      </w:r>
      <w:r w:rsidRPr="00E46DC8">
        <w:rPr>
          <w:rStyle w:val="casenumber"/>
          <w:b/>
          <w:bCs/>
          <w:sz w:val="20"/>
          <w:szCs w:val="20"/>
          <w:shd w:val="clear" w:color="auto" w:fill="FFFFFF"/>
        </w:rPr>
        <w:t>:</w:t>
      </w:r>
      <w:r w:rsidRPr="00E46DC8">
        <w:rPr>
          <w:rStyle w:val="casenumber"/>
          <w:sz w:val="20"/>
          <w:szCs w:val="20"/>
          <w:shd w:val="clear" w:color="auto" w:fill="FFFFFF"/>
        </w:rPr>
        <w:t xml:space="preserve"> Planning permissions issued in 2020/21 for new student accommodation</w:t>
      </w:r>
    </w:p>
    <w:p w14:paraId="5712D3B2" w14:textId="480954A1" w:rsidR="00530AD2"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Permission was also granted for a temporary change of use from student accommodation in Canterbury House, to additional housing for people experiencing or at risk of rough sleeping during the COVID-19 pandemic (21/00032/FUL).  The temporary use was granted for 5 months until 16 August 2021, after which the building would be reinstated to its former use and condition</w:t>
      </w:r>
      <w:r w:rsidR="4B15CFF8" w:rsidRPr="0012619C">
        <w:rPr>
          <w:rFonts w:eastAsiaTheme="minorEastAsia"/>
        </w:rPr>
        <w:t xml:space="preserve">. </w:t>
      </w:r>
      <w:r w:rsidRPr="0012619C">
        <w:rPr>
          <w:rFonts w:eastAsiaTheme="minorEastAsia"/>
        </w:rPr>
        <w:t>It is therefore not counted as a net loss in this report.</w:t>
      </w:r>
    </w:p>
    <w:p w14:paraId="6AC13C2B" w14:textId="141D4982" w:rsidR="00FB6398"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Local Plan policy H9 seeks to link the delivery of new/ redeveloped and refurbished university academic facilities to the delivery of university provided resi</w:t>
      </w:r>
      <w:r w:rsidR="006087B3" w:rsidRPr="0012619C">
        <w:rPr>
          <w:rFonts w:eastAsiaTheme="minorEastAsia"/>
        </w:rPr>
        <w:t xml:space="preserve">dent accommodation. </w:t>
      </w:r>
      <w:r w:rsidRPr="0012619C">
        <w:rPr>
          <w:rFonts w:eastAsiaTheme="minorEastAsia"/>
        </w:rPr>
        <w:t>This has been considered in the previous Chapter of this AMR (</w:t>
      </w:r>
      <w:r w:rsidR="00000666" w:rsidRPr="0012619C">
        <w:rPr>
          <w:rFonts w:eastAsiaTheme="minorEastAsia"/>
        </w:rPr>
        <w:t>p12</w:t>
      </w:r>
      <w:r w:rsidRPr="0012619C">
        <w:rPr>
          <w:rFonts w:eastAsiaTheme="minorEastAsia"/>
        </w:rPr>
        <w:t xml:space="preserve">) as it is connected to Policy E2.   </w:t>
      </w:r>
    </w:p>
    <w:p w14:paraId="122E3EBA" w14:textId="77777777" w:rsidR="00FB6398" w:rsidRPr="0032728C" w:rsidRDefault="00FB6398" w:rsidP="0032728C">
      <w:pPr>
        <w:pStyle w:val="Heading2"/>
      </w:pPr>
      <w:bookmarkStart w:id="41" w:name="_Toc88135859"/>
      <w:r w:rsidRPr="0032728C">
        <w:t>Older Persons and Specialist and Supported Living Accommodation</w:t>
      </w:r>
      <w:bookmarkEnd w:id="41"/>
    </w:p>
    <w:p w14:paraId="132917C6" w14:textId="179E6BA1" w:rsidR="00FB6398"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Local Plan policy H11 sets out criteria against which applications for older persons and specialist and supported living accommodation will be considered.  The Policy also indicates that existing extra-care accommodation should be protected unless it is to be replaced elsewhere or it can </w:t>
      </w:r>
      <w:r w:rsidRPr="0012619C">
        <w:rPr>
          <w:rFonts w:eastAsiaTheme="minorEastAsia"/>
        </w:rPr>
        <w:lastRenderedPageBreak/>
        <w:t xml:space="preserve">be shown that it is surplus to requirements.  Over the monitoring period there were no applications submitted for older persons or specialist / supported living accommodation.  </w:t>
      </w:r>
    </w:p>
    <w:p w14:paraId="2A81D53B" w14:textId="77777777" w:rsidR="00FB6398" w:rsidRPr="0032728C" w:rsidRDefault="00FB6398" w:rsidP="00241636">
      <w:pPr>
        <w:pStyle w:val="Heading2"/>
      </w:pPr>
      <w:bookmarkStart w:id="42" w:name="_Toc88135860"/>
      <w:r w:rsidRPr="0032728C">
        <w:t>Homes for travelling communities</w:t>
      </w:r>
      <w:bookmarkEnd w:id="42"/>
    </w:p>
    <w:p w14:paraId="51DE0B27" w14:textId="23127C0A" w:rsidR="00FB6398"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 xml:space="preserve">Local Plan policy H12 sets out criteria against which applications for homes for travelling communities will be addressed.  There were no applications received for this type of home in the 2020/21 monitoring period. </w:t>
      </w:r>
    </w:p>
    <w:p w14:paraId="4E5EC563" w14:textId="77777777" w:rsidR="00FB6398" w:rsidRPr="0032728C" w:rsidRDefault="00FB6398" w:rsidP="00241636">
      <w:pPr>
        <w:pStyle w:val="Heading2"/>
      </w:pPr>
      <w:bookmarkStart w:id="43" w:name="_Toc88135861"/>
      <w:r w:rsidRPr="0032728C">
        <w:t>Homes for boat dwellers</w:t>
      </w:r>
      <w:bookmarkEnd w:id="43"/>
    </w:p>
    <w:p w14:paraId="459517F4" w14:textId="4C00FC11" w:rsidR="5DBB2C43" w:rsidRPr="0012619C" w:rsidRDefault="35B8BBBA" w:rsidP="0012619C">
      <w:pPr>
        <w:keepNext/>
        <w:numPr>
          <w:ilvl w:val="1"/>
          <w:numId w:val="11"/>
        </w:numPr>
        <w:spacing w:before="240" w:after="200" w:line="276" w:lineRule="auto"/>
        <w:ind w:left="567" w:hanging="567"/>
        <w:jc w:val="both"/>
        <w:rPr>
          <w:rFonts w:eastAsiaTheme="minorEastAsia"/>
        </w:rPr>
      </w:pPr>
      <w:r w:rsidRPr="0012619C">
        <w:rPr>
          <w:rFonts w:eastAsiaTheme="minorEastAsia"/>
        </w:rPr>
        <w:t>Local Plan policy H13 sets out criteria against which potential new moorings will be considered. Over the 2020/21 monitoring period, one application was received which involved residential moorings.  This application was for a Certificate of Lawfulness for a maximum of 5 boats moored on the Eastern bank of Castle Mill Stream as permanent residential moorings (ref. 20/02292/CEU).</w:t>
      </w:r>
      <w:r w:rsidR="00F413B8" w:rsidRPr="0012619C">
        <w:rPr>
          <w:rFonts w:eastAsiaTheme="minorEastAsia"/>
        </w:rPr>
        <w:t xml:space="preserve">  The application was not determined during the monitoring period and will be reported on in the next AMR.  </w:t>
      </w:r>
      <w:r w:rsidRPr="0012619C">
        <w:rPr>
          <w:rFonts w:eastAsiaTheme="minorEastAsia"/>
        </w:rPr>
        <w:t xml:space="preserve">  </w:t>
      </w:r>
    </w:p>
    <w:p w14:paraId="6EA9BCE9" w14:textId="74B889FF" w:rsidR="00FB6398" w:rsidRPr="009E5BA8" w:rsidRDefault="35B8BBBA" w:rsidP="73C076F8">
      <w:pPr>
        <w:pStyle w:val="Heading2"/>
        <w:spacing w:after="200" w:line="276" w:lineRule="auto"/>
        <w:ind w:right="-46"/>
        <w:rPr>
          <w:sz w:val="20"/>
          <w:szCs w:val="20"/>
        </w:rPr>
      </w:pPr>
      <w:bookmarkStart w:id="44" w:name="_Toc88135862"/>
      <w:r>
        <w:t>Housing Land Supply</w:t>
      </w:r>
      <w:bookmarkEnd w:id="44"/>
    </w:p>
    <w:p w14:paraId="5078BC22" w14:textId="09905763" w:rsidR="00530AD2" w:rsidRPr="00AD4EE0" w:rsidRDefault="35B8BBBA" w:rsidP="0012619C">
      <w:pPr>
        <w:keepNext/>
        <w:numPr>
          <w:ilvl w:val="1"/>
          <w:numId w:val="11"/>
        </w:numPr>
        <w:spacing w:before="240" w:after="200" w:line="276" w:lineRule="auto"/>
        <w:ind w:left="567" w:hanging="567"/>
        <w:jc w:val="both"/>
      </w:pPr>
      <w:r>
        <w:t xml:space="preserve">Paragraph 73 of the NPPF states that local authorities should assess their housing supply against the housing requirement set out in adopted strategic policies, or against their local housing need where these policies are more than 5 years old.  The Oxford Local Plan 2036 was adopted in June 2020 and includes a housing requirement of 475 homes per annum from 2016/17 to 2020/21, and 567 homes per annum from 2021/22 to 2035/36 (policy H1).  This requirement is therefore being used as the basis for </w:t>
      </w:r>
      <w:r w:rsidR="402B6A0B">
        <w:t>5-year</w:t>
      </w:r>
      <w:r>
        <w:t xml:space="preserve"> land supply calculations. </w:t>
      </w:r>
    </w:p>
    <w:p w14:paraId="0A79CD2C" w14:textId="3D00249F" w:rsidR="00FB6398" w:rsidRPr="005B0327" w:rsidRDefault="35B8BBBA" w:rsidP="0012619C">
      <w:pPr>
        <w:keepNext/>
        <w:numPr>
          <w:ilvl w:val="1"/>
          <w:numId w:val="11"/>
        </w:numPr>
        <w:spacing w:before="240" w:after="200" w:line="276" w:lineRule="auto"/>
        <w:ind w:left="567" w:hanging="567"/>
        <w:jc w:val="both"/>
      </w:pPr>
      <w:r>
        <w:t>Against this requirement, the City Council has identified a deliverable supply of 4,313 homes.  This includes the forecast supply from large sites, including those which have been allocated in the Local Plan and outstanding permissions from small sites (commitments), plus a windfall allowance.  This gives a housing land supply of 7.</w:t>
      </w:r>
      <w:r w:rsidR="1E734CB3">
        <w:t>78</w:t>
      </w:r>
      <w:r>
        <w:t xml:space="preserve"> years. </w:t>
      </w:r>
    </w:p>
    <w:tbl>
      <w:tblPr>
        <w:tblStyle w:val="TableGrid1"/>
        <w:tblW w:w="0" w:type="auto"/>
        <w:jc w:val="center"/>
        <w:tblLook w:val="04A0" w:firstRow="1" w:lastRow="0" w:firstColumn="1" w:lastColumn="0" w:noHBand="0" w:noVBand="1"/>
        <w:tblCaption w:val="Table 9: Oxford's housing land supply 2020/21 to 2024/25"/>
        <w:tblDescription w:val="Table shows the calculations and resulting 5 year housing land supply figure. "/>
      </w:tblPr>
      <w:tblGrid>
        <w:gridCol w:w="528"/>
        <w:gridCol w:w="5102"/>
        <w:gridCol w:w="1701"/>
      </w:tblGrid>
      <w:tr w:rsidR="008B0234" w:rsidRPr="00432792" w14:paraId="326F7805" w14:textId="77777777" w:rsidTr="001867F8">
        <w:trPr>
          <w:tblHeader/>
          <w:jc w:val="center"/>
        </w:trPr>
        <w:tc>
          <w:tcPr>
            <w:tcW w:w="528" w:type="dxa"/>
            <w:tcBorders>
              <w:top w:val="nil"/>
              <w:left w:val="nil"/>
            </w:tcBorders>
          </w:tcPr>
          <w:p w14:paraId="7269F455" w14:textId="77777777" w:rsidR="008B0234" w:rsidRPr="00432792" w:rsidRDefault="008B0234" w:rsidP="001867F8">
            <w:pPr>
              <w:jc w:val="center"/>
              <w:rPr>
                <w:rFonts w:cstheme="minorHAnsi"/>
                <w:sz w:val="20"/>
                <w:szCs w:val="20"/>
                <w:highlight w:val="yellow"/>
              </w:rPr>
            </w:pPr>
          </w:p>
        </w:tc>
        <w:tc>
          <w:tcPr>
            <w:tcW w:w="5102" w:type="dxa"/>
            <w:shd w:val="clear" w:color="auto" w:fill="auto"/>
          </w:tcPr>
          <w:p w14:paraId="65CF541E" w14:textId="77777777" w:rsidR="008B0234" w:rsidRPr="00432792" w:rsidRDefault="008B0234" w:rsidP="001867F8">
            <w:pPr>
              <w:jc w:val="center"/>
              <w:rPr>
                <w:rFonts w:cstheme="minorHAnsi"/>
                <w:b/>
                <w:sz w:val="20"/>
                <w:szCs w:val="20"/>
              </w:rPr>
            </w:pPr>
            <w:r w:rsidRPr="00432792">
              <w:rPr>
                <w:rFonts w:cstheme="minorHAnsi"/>
                <w:b/>
                <w:sz w:val="20"/>
                <w:szCs w:val="20"/>
              </w:rPr>
              <w:t>Local Plan 2036 Housing Requirement</w:t>
            </w:r>
          </w:p>
        </w:tc>
        <w:tc>
          <w:tcPr>
            <w:tcW w:w="1701" w:type="dxa"/>
            <w:shd w:val="clear" w:color="auto" w:fill="auto"/>
          </w:tcPr>
          <w:p w14:paraId="5DDAEAD3" w14:textId="77777777" w:rsidR="008B0234" w:rsidRPr="00432792" w:rsidRDefault="008B0234" w:rsidP="001867F8">
            <w:pPr>
              <w:jc w:val="center"/>
              <w:rPr>
                <w:rFonts w:cstheme="minorHAnsi"/>
                <w:b/>
                <w:sz w:val="20"/>
                <w:szCs w:val="20"/>
              </w:rPr>
            </w:pPr>
            <w:r w:rsidRPr="00432792">
              <w:rPr>
                <w:rFonts w:cstheme="minorHAnsi"/>
                <w:b/>
                <w:sz w:val="20"/>
                <w:szCs w:val="20"/>
              </w:rPr>
              <w:t>Figure</w:t>
            </w:r>
          </w:p>
        </w:tc>
      </w:tr>
      <w:tr w:rsidR="008B0234" w:rsidRPr="00432792" w14:paraId="2BA43E64" w14:textId="77777777" w:rsidTr="001867F8">
        <w:trPr>
          <w:jc w:val="center"/>
        </w:trPr>
        <w:tc>
          <w:tcPr>
            <w:tcW w:w="528" w:type="dxa"/>
          </w:tcPr>
          <w:p w14:paraId="795C29B6" w14:textId="77777777" w:rsidR="008B0234" w:rsidRPr="00432792" w:rsidRDefault="008B0234" w:rsidP="001867F8">
            <w:pPr>
              <w:jc w:val="center"/>
              <w:rPr>
                <w:rFonts w:cstheme="minorHAnsi"/>
                <w:b/>
                <w:sz w:val="20"/>
                <w:szCs w:val="20"/>
              </w:rPr>
            </w:pPr>
            <w:r w:rsidRPr="00432792">
              <w:rPr>
                <w:rFonts w:cstheme="minorHAnsi"/>
                <w:b/>
                <w:sz w:val="20"/>
                <w:szCs w:val="20"/>
              </w:rPr>
              <w:t>A</w:t>
            </w:r>
          </w:p>
        </w:tc>
        <w:tc>
          <w:tcPr>
            <w:tcW w:w="5102" w:type="dxa"/>
          </w:tcPr>
          <w:p w14:paraId="5FB91969" w14:textId="77777777" w:rsidR="008B0234" w:rsidRPr="00432792" w:rsidRDefault="008B0234" w:rsidP="001867F8">
            <w:pPr>
              <w:jc w:val="center"/>
              <w:rPr>
                <w:rFonts w:cstheme="minorHAnsi"/>
                <w:sz w:val="20"/>
                <w:szCs w:val="20"/>
              </w:rPr>
            </w:pPr>
            <w:r w:rsidRPr="00432792">
              <w:rPr>
                <w:rFonts w:cstheme="minorHAnsi"/>
                <w:sz w:val="20"/>
                <w:szCs w:val="20"/>
              </w:rPr>
              <w:t>Requirement</w:t>
            </w:r>
          </w:p>
        </w:tc>
        <w:tc>
          <w:tcPr>
            <w:tcW w:w="1701" w:type="dxa"/>
            <w:shd w:val="clear" w:color="auto" w:fill="auto"/>
          </w:tcPr>
          <w:p w14:paraId="5B10B95E" w14:textId="77777777" w:rsidR="008B0234" w:rsidRPr="00432792" w:rsidRDefault="008B0234" w:rsidP="001867F8">
            <w:pPr>
              <w:jc w:val="center"/>
              <w:rPr>
                <w:rFonts w:cstheme="minorHAnsi"/>
                <w:sz w:val="20"/>
                <w:szCs w:val="20"/>
              </w:rPr>
            </w:pPr>
            <w:r w:rsidRPr="00432792">
              <w:rPr>
                <w:rFonts w:cstheme="minorHAnsi"/>
                <w:sz w:val="20"/>
                <w:szCs w:val="20"/>
              </w:rPr>
              <w:t>567 (2021/22 – 2025</w:t>
            </w:r>
            <w:r>
              <w:rPr>
                <w:rFonts w:cstheme="minorHAnsi"/>
                <w:sz w:val="20"/>
                <w:szCs w:val="20"/>
              </w:rPr>
              <w:t>/26</w:t>
            </w:r>
            <w:r w:rsidRPr="00432792">
              <w:rPr>
                <w:rFonts w:cstheme="minorHAnsi"/>
                <w:sz w:val="20"/>
                <w:szCs w:val="20"/>
              </w:rPr>
              <w:t>)</w:t>
            </w:r>
          </w:p>
        </w:tc>
      </w:tr>
      <w:tr w:rsidR="008B0234" w:rsidRPr="00432792" w14:paraId="0FDC9884" w14:textId="77777777" w:rsidTr="001867F8">
        <w:trPr>
          <w:jc w:val="center"/>
        </w:trPr>
        <w:tc>
          <w:tcPr>
            <w:tcW w:w="528" w:type="dxa"/>
          </w:tcPr>
          <w:p w14:paraId="56FA43BD" w14:textId="77777777" w:rsidR="008B0234" w:rsidRPr="00432792" w:rsidRDefault="008B0234" w:rsidP="001867F8">
            <w:pPr>
              <w:jc w:val="center"/>
              <w:rPr>
                <w:rFonts w:cstheme="minorHAnsi"/>
                <w:b/>
                <w:sz w:val="20"/>
                <w:szCs w:val="20"/>
              </w:rPr>
            </w:pPr>
            <w:r w:rsidRPr="00432792">
              <w:rPr>
                <w:rFonts w:cstheme="minorHAnsi"/>
                <w:b/>
                <w:sz w:val="20"/>
                <w:szCs w:val="20"/>
              </w:rPr>
              <w:t>B</w:t>
            </w:r>
          </w:p>
        </w:tc>
        <w:tc>
          <w:tcPr>
            <w:tcW w:w="5102" w:type="dxa"/>
          </w:tcPr>
          <w:p w14:paraId="5A059974" w14:textId="77777777" w:rsidR="008B0234" w:rsidRPr="00432792" w:rsidRDefault="008B0234" w:rsidP="001867F8">
            <w:pPr>
              <w:jc w:val="center"/>
              <w:rPr>
                <w:rFonts w:cstheme="minorHAnsi"/>
                <w:sz w:val="20"/>
                <w:szCs w:val="20"/>
              </w:rPr>
            </w:pPr>
            <w:r w:rsidRPr="00432792">
              <w:rPr>
                <w:rFonts w:cstheme="minorHAnsi"/>
                <w:sz w:val="20"/>
                <w:szCs w:val="20"/>
              </w:rPr>
              <w:t>Next 5 years requirement</w:t>
            </w:r>
          </w:p>
          <w:p w14:paraId="23DCD148" w14:textId="77777777" w:rsidR="008B0234" w:rsidRPr="00432792" w:rsidRDefault="008B0234" w:rsidP="001867F8">
            <w:pPr>
              <w:jc w:val="center"/>
              <w:rPr>
                <w:rFonts w:cstheme="minorHAnsi"/>
                <w:sz w:val="20"/>
                <w:szCs w:val="20"/>
              </w:rPr>
            </w:pPr>
            <w:r w:rsidRPr="00432792">
              <w:rPr>
                <w:rFonts w:cstheme="minorHAnsi"/>
                <w:sz w:val="20"/>
                <w:szCs w:val="20"/>
              </w:rPr>
              <w:t>(</w:t>
            </w:r>
            <w:r w:rsidRPr="00432792">
              <w:rPr>
                <w:rFonts w:cstheme="minorHAnsi"/>
                <w:b/>
                <w:sz w:val="20"/>
                <w:szCs w:val="20"/>
              </w:rPr>
              <w:t>A</w:t>
            </w:r>
            <w:r w:rsidRPr="00432792">
              <w:rPr>
                <w:rFonts w:cstheme="minorHAnsi"/>
                <w:sz w:val="20"/>
                <w:szCs w:val="20"/>
              </w:rPr>
              <w:t xml:space="preserve"> (567 x </w:t>
            </w:r>
            <w:r>
              <w:rPr>
                <w:rFonts w:cstheme="minorHAnsi"/>
                <w:sz w:val="20"/>
                <w:szCs w:val="20"/>
              </w:rPr>
              <w:t>5</w:t>
            </w:r>
            <w:r w:rsidRPr="00432792">
              <w:rPr>
                <w:rFonts w:cstheme="minorHAnsi"/>
                <w:sz w:val="20"/>
                <w:szCs w:val="20"/>
              </w:rPr>
              <w:t>))</w:t>
            </w:r>
          </w:p>
        </w:tc>
        <w:tc>
          <w:tcPr>
            <w:tcW w:w="1701" w:type="dxa"/>
          </w:tcPr>
          <w:p w14:paraId="69557E56" w14:textId="77777777" w:rsidR="008B0234" w:rsidRPr="00432792" w:rsidRDefault="008B0234" w:rsidP="001867F8">
            <w:pPr>
              <w:jc w:val="center"/>
              <w:rPr>
                <w:rFonts w:cstheme="minorHAnsi"/>
                <w:sz w:val="20"/>
                <w:szCs w:val="20"/>
              </w:rPr>
            </w:pPr>
            <w:r>
              <w:rPr>
                <w:rFonts w:cstheme="minorHAnsi"/>
                <w:sz w:val="20"/>
                <w:szCs w:val="20"/>
              </w:rPr>
              <w:t>2835</w:t>
            </w:r>
          </w:p>
        </w:tc>
      </w:tr>
      <w:tr w:rsidR="008B0234" w:rsidRPr="00432792" w14:paraId="18E96187" w14:textId="77777777" w:rsidTr="001867F8">
        <w:trPr>
          <w:jc w:val="center"/>
        </w:trPr>
        <w:tc>
          <w:tcPr>
            <w:tcW w:w="528" w:type="dxa"/>
          </w:tcPr>
          <w:p w14:paraId="1CD3A951" w14:textId="77777777" w:rsidR="008B0234" w:rsidRPr="00432792" w:rsidRDefault="008B0234" w:rsidP="001867F8">
            <w:pPr>
              <w:jc w:val="center"/>
              <w:rPr>
                <w:rFonts w:cstheme="minorHAnsi"/>
                <w:b/>
                <w:sz w:val="20"/>
                <w:szCs w:val="20"/>
                <w:highlight w:val="yellow"/>
              </w:rPr>
            </w:pPr>
            <w:r w:rsidRPr="00432792">
              <w:rPr>
                <w:rFonts w:cstheme="minorHAnsi"/>
                <w:b/>
                <w:sz w:val="20"/>
                <w:szCs w:val="20"/>
              </w:rPr>
              <w:t>C</w:t>
            </w:r>
          </w:p>
        </w:tc>
        <w:tc>
          <w:tcPr>
            <w:tcW w:w="5102" w:type="dxa"/>
          </w:tcPr>
          <w:p w14:paraId="7F134617" w14:textId="77777777" w:rsidR="008B0234" w:rsidRPr="00432792" w:rsidRDefault="008B0234" w:rsidP="001867F8">
            <w:pPr>
              <w:jc w:val="center"/>
              <w:rPr>
                <w:rFonts w:cstheme="minorHAnsi"/>
                <w:sz w:val="20"/>
                <w:szCs w:val="20"/>
              </w:rPr>
            </w:pPr>
            <w:r w:rsidRPr="00432792">
              <w:rPr>
                <w:rFonts w:cstheme="minorHAnsi"/>
                <w:sz w:val="20"/>
                <w:szCs w:val="20"/>
              </w:rPr>
              <w:t>Shortfall/ Surplus</w:t>
            </w:r>
          </w:p>
        </w:tc>
        <w:tc>
          <w:tcPr>
            <w:tcW w:w="1701" w:type="dxa"/>
          </w:tcPr>
          <w:p w14:paraId="2174CD01" w14:textId="77777777" w:rsidR="008B0234" w:rsidRPr="00432792" w:rsidRDefault="008B0234" w:rsidP="001867F8">
            <w:pPr>
              <w:jc w:val="center"/>
              <w:rPr>
                <w:rFonts w:cstheme="minorHAnsi"/>
                <w:sz w:val="20"/>
                <w:szCs w:val="20"/>
              </w:rPr>
            </w:pPr>
            <w:r w:rsidRPr="00432792">
              <w:rPr>
                <w:rFonts w:cstheme="minorHAnsi"/>
                <w:sz w:val="20"/>
                <w:szCs w:val="20"/>
              </w:rPr>
              <w:t>+</w:t>
            </w:r>
            <w:r>
              <w:rPr>
                <w:rFonts w:cstheme="minorHAnsi"/>
                <w:sz w:val="20"/>
                <w:szCs w:val="20"/>
              </w:rPr>
              <w:t>316</w:t>
            </w:r>
          </w:p>
        </w:tc>
      </w:tr>
      <w:tr w:rsidR="008B0234" w:rsidRPr="00432792" w14:paraId="58AA558C" w14:textId="77777777" w:rsidTr="001867F8">
        <w:trPr>
          <w:trHeight w:val="816"/>
          <w:jc w:val="center"/>
        </w:trPr>
        <w:tc>
          <w:tcPr>
            <w:tcW w:w="528" w:type="dxa"/>
            <w:shd w:val="clear" w:color="auto" w:fill="auto"/>
          </w:tcPr>
          <w:p w14:paraId="4C4F3A6E" w14:textId="77777777" w:rsidR="008B0234" w:rsidRPr="00432792" w:rsidRDefault="008B0234" w:rsidP="001867F8">
            <w:pPr>
              <w:jc w:val="center"/>
              <w:rPr>
                <w:rFonts w:cstheme="minorHAnsi"/>
                <w:b/>
                <w:sz w:val="20"/>
                <w:szCs w:val="20"/>
              </w:rPr>
            </w:pPr>
            <w:r w:rsidRPr="00432792">
              <w:rPr>
                <w:rFonts w:cstheme="minorHAnsi"/>
                <w:b/>
                <w:sz w:val="20"/>
                <w:szCs w:val="20"/>
              </w:rPr>
              <w:t>D</w:t>
            </w:r>
          </w:p>
        </w:tc>
        <w:tc>
          <w:tcPr>
            <w:tcW w:w="5102" w:type="dxa"/>
            <w:shd w:val="clear" w:color="auto" w:fill="auto"/>
          </w:tcPr>
          <w:p w14:paraId="16816541" w14:textId="77777777" w:rsidR="008B0234" w:rsidRPr="00432792" w:rsidRDefault="008B0234" w:rsidP="001867F8">
            <w:pPr>
              <w:jc w:val="center"/>
              <w:rPr>
                <w:rFonts w:cstheme="minorHAnsi"/>
                <w:sz w:val="20"/>
                <w:szCs w:val="20"/>
              </w:rPr>
            </w:pPr>
            <w:r w:rsidRPr="00432792">
              <w:rPr>
                <w:rFonts w:cstheme="minorHAnsi"/>
                <w:sz w:val="20"/>
                <w:szCs w:val="20"/>
              </w:rPr>
              <w:t>Next 5 years requirement with shortfall/surplus included (</w:t>
            </w:r>
            <w:r w:rsidRPr="00432792">
              <w:rPr>
                <w:rFonts w:cstheme="minorHAnsi"/>
                <w:b/>
                <w:sz w:val="20"/>
                <w:szCs w:val="20"/>
              </w:rPr>
              <w:t>B</w:t>
            </w:r>
            <w:r w:rsidRPr="00432792">
              <w:rPr>
                <w:rFonts w:cstheme="minorHAnsi"/>
                <w:sz w:val="20"/>
                <w:szCs w:val="20"/>
              </w:rPr>
              <w:t xml:space="preserve"> +/- </w:t>
            </w:r>
            <w:r w:rsidRPr="00432792">
              <w:rPr>
                <w:rFonts w:cstheme="minorHAnsi"/>
                <w:b/>
                <w:sz w:val="20"/>
                <w:szCs w:val="20"/>
              </w:rPr>
              <w:t>C</w:t>
            </w:r>
            <w:r w:rsidRPr="00432792">
              <w:rPr>
                <w:rFonts w:cstheme="minorHAnsi"/>
                <w:sz w:val="20"/>
                <w:szCs w:val="20"/>
              </w:rPr>
              <w:t>)</w:t>
            </w:r>
          </w:p>
        </w:tc>
        <w:tc>
          <w:tcPr>
            <w:tcW w:w="1701" w:type="dxa"/>
          </w:tcPr>
          <w:p w14:paraId="7D16398A" w14:textId="77777777" w:rsidR="008B0234" w:rsidRPr="00432792" w:rsidRDefault="008B0234" w:rsidP="001867F8">
            <w:pPr>
              <w:jc w:val="center"/>
              <w:rPr>
                <w:rFonts w:cstheme="minorHAnsi"/>
                <w:sz w:val="20"/>
                <w:szCs w:val="20"/>
              </w:rPr>
            </w:pPr>
            <w:r>
              <w:rPr>
                <w:rFonts w:cstheme="minorHAnsi"/>
                <w:sz w:val="20"/>
                <w:szCs w:val="20"/>
              </w:rPr>
              <w:t>2519</w:t>
            </w:r>
          </w:p>
        </w:tc>
      </w:tr>
      <w:tr w:rsidR="008B0234" w:rsidRPr="00432792" w14:paraId="6BA1D434" w14:textId="77777777" w:rsidTr="001867F8">
        <w:trPr>
          <w:jc w:val="center"/>
        </w:trPr>
        <w:tc>
          <w:tcPr>
            <w:tcW w:w="528" w:type="dxa"/>
            <w:shd w:val="clear" w:color="auto" w:fill="auto"/>
          </w:tcPr>
          <w:p w14:paraId="19A0C3CA" w14:textId="77777777" w:rsidR="008B0234" w:rsidRPr="00432792" w:rsidRDefault="008B0234" w:rsidP="001867F8">
            <w:pPr>
              <w:jc w:val="center"/>
              <w:rPr>
                <w:rFonts w:cstheme="minorHAnsi"/>
                <w:b/>
                <w:sz w:val="20"/>
                <w:szCs w:val="20"/>
              </w:rPr>
            </w:pPr>
            <w:r w:rsidRPr="00432792">
              <w:rPr>
                <w:rFonts w:cstheme="minorHAnsi"/>
                <w:b/>
                <w:sz w:val="20"/>
                <w:szCs w:val="20"/>
              </w:rPr>
              <w:t>E</w:t>
            </w:r>
          </w:p>
        </w:tc>
        <w:tc>
          <w:tcPr>
            <w:tcW w:w="5102" w:type="dxa"/>
            <w:shd w:val="clear" w:color="auto" w:fill="auto"/>
          </w:tcPr>
          <w:p w14:paraId="4783CD63" w14:textId="761B38FC" w:rsidR="008B0234" w:rsidRPr="00B92D22" w:rsidRDefault="1001E23A" w:rsidP="001867F8">
            <w:pPr>
              <w:jc w:val="center"/>
              <w:rPr>
                <w:rFonts w:cstheme="minorBidi"/>
                <w:sz w:val="20"/>
                <w:szCs w:val="20"/>
              </w:rPr>
            </w:pPr>
            <w:r w:rsidRPr="108EF35C">
              <w:rPr>
                <w:rFonts w:cstheme="minorBidi"/>
                <w:sz w:val="20"/>
                <w:szCs w:val="20"/>
              </w:rPr>
              <w:t xml:space="preserve">5 year requirement (with </w:t>
            </w:r>
            <w:r w:rsidR="52D9FE54" w:rsidRPr="108EF35C">
              <w:rPr>
                <w:rFonts w:cstheme="minorBidi"/>
                <w:sz w:val="20"/>
                <w:szCs w:val="20"/>
              </w:rPr>
              <w:t>1</w:t>
            </w:r>
            <w:r w:rsidRPr="108EF35C">
              <w:rPr>
                <w:rFonts w:cstheme="minorBidi"/>
                <w:sz w:val="20"/>
                <w:szCs w:val="20"/>
              </w:rPr>
              <w:t>0% buffer applied)</w:t>
            </w:r>
          </w:p>
          <w:p w14:paraId="266B20DD" w14:textId="2D0949AD" w:rsidR="008B0234" w:rsidRPr="00B92D22" w:rsidRDefault="1001E23A" w:rsidP="001867F8">
            <w:pPr>
              <w:jc w:val="center"/>
              <w:rPr>
                <w:rFonts w:cstheme="minorBidi"/>
                <w:sz w:val="20"/>
                <w:szCs w:val="20"/>
              </w:rPr>
            </w:pPr>
            <w:r w:rsidRPr="108EF35C">
              <w:rPr>
                <w:rFonts w:cstheme="minorBidi"/>
                <w:b/>
                <w:bCs/>
                <w:sz w:val="20"/>
                <w:szCs w:val="20"/>
              </w:rPr>
              <w:t>(D</w:t>
            </w:r>
            <w:r w:rsidRPr="108EF35C">
              <w:rPr>
                <w:rFonts w:cstheme="minorBidi"/>
                <w:sz w:val="20"/>
                <w:szCs w:val="20"/>
              </w:rPr>
              <w:t xml:space="preserve"> x 1</w:t>
            </w:r>
            <w:r w:rsidR="3DB21B6C" w:rsidRPr="108EF35C">
              <w:rPr>
                <w:rFonts w:cstheme="minorBidi"/>
                <w:sz w:val="20"/>
                <w:szCs w:val="20"/>
              </w:rPr>
              <w:t>1</w:t>
            </w:r>
            <w:r w:rsidRPr="108EF35C">
              <w:rPr>
                <w:rFonts w:cstheme="minorBidi"/>
                <w:sz w:val="20"/>
                <w:szCs w:val="20"/>
              </w:rPr>
              <w:t>0%)</w:t>
            </w:r>
          </w:p>
        </w:tc>
        <w:tc>
          <w:tcPr>
            <w:tcW w:w="1701" w:type="dxa"/>
          </w:tcPr>
          <w:p w14:paraId="76D88637" w14:textId="0B4A45E7" w:rsidR="008B0234" w:rsidRPr="00B92D22" w:rsidRDefault="441FE03B" w:rsidP="001867F8">
            <w:pPr>
              <w:jc w:val="center"/>
              <w:rPr>
                <w:rFonts w:cstheme="minorBidi"/>
                <w:sz w:val="20"/>
                <w:szCs w:val="20"/>
              </w:rPr>
            </w:pPr>
            <w:r w:rsidRPr="108EF35C">
              <w:rPr>
                <w:rFonts w:cstheme="minorBidi"/>
                <w:sz w:val="20"/>
                <w:szCs w:val="20"/>
              </w:rPr>
              <w:t>2771</w:t>
            </w:r>
          </w:p>
        </w:tc>
      </w:tr>
      <w:tr w:rsidR="008B0234" w:rsidRPr="00432792" w14:paraId="53728E15" w14:textId="77777777" w:rsidTr="001867F8">
        <w:trPr>
          <w:jc w:val="center"/>
        </w:trPr>
        <w:tc>
          <w:tcPr>
            <w:tcW w:w="528" w:type="dxa"/>
          </w:tcPr>
          <w:p w14:paraId="3A56C235" w14:textId="77777777" w:rsidR="008B0234" w:rsidRPr="00432792" w:rsidRDefault="008B0234" w:rsidP="001867F8">
            <w:pPr>
              <w:jc w:val="center"/>
              <w:rPr>
                <w:rFonts w:cstheme="minorHAnsi"/>
                <w:b/>
                <w:sz w:val="20"/>
                <w:szCs w:val="20"/>
              </w:rPr>
            </w:pPr>
            <w:r w:rsidRPr="00432792">
              <w:rPr>
                <w:rFonts w:cstheme="minorHAnsi"/>
                <w:b/>
                <w:sz w:val="20"/>
                <w:szCs w:val="20"/>
              </w:rPr>
              <w:t>F</w:t>
            </w:r>
          </w:p>
        </w:tc>
        <w:tc>
          <w:tcPr>
            <w:tcW w:w="5102" w:type="dxa"/>
          </w:tcPr>
          <w:p w14:paraId="2D6533B6" w14:textId="77777777" w:rsidR="008B0234" w:rsidRPr="00432792" w:rsidRDefault="008B0234" w:rsidP="001867F8">
            <w:pPr>
              <w:jc w:val="center"/>
              <w:rPr>
                <w:rFonts w:cstheme="minorHAnsi"/>
                <w:sz w:val="20"/>
                <w:szCs w:val="20"/>
              </w:rPr>
            </w:pPr>
            <w:r w:rsidRPr="00432792">
              <w:rPr>
                <w:rFonts w:cstheme="minorHAnsi"/>
                <w:sz w:val="20"/>
                <w:szCs w:val="20"/>
              </w:rPr>
              <w:t>Supply from large sites - (2021</w:t>
            </w:r>
            <w:r>
              <w:rPr>
                <w:rFonts w:cstheme="minorHAnsi"/>
                <w:sz w:val="20"/>
                <w:szCs w:val="20"/>
              </w:rPr>
              <w:t>/22</w:t>
            </w:r>
            <w:r w:rsidRPr="00432792">
              <w:rPr>
                <w:rFonts w:cstheme="minorHAnsi"/>
                <w:sz w:val="20"/>
                <w:szCs w:val="20"/>
              </w:rPr>
              <w:t xml:space="preserve"> - 202</w:t>
            </w:r>
            <w:r>
              <w:rPr>
                <w:rFonts w:cstheme="minorHAnsi"/>
                <w:sz w:val="20"/>
                <w:szCs w:val="20"/>
              </w:rPr>
              <w:t>5/26</w:t>
            </w:r>
            <w:r w:rsidRPr="00432792">
              <w:rPr>
                <w:rFonts w:cstheme="minorHAnsi"/>
                <w:sz w:val="20"/>
                <w:szCs w:val="20"/>
              </w:rPr>
              <w:t>)</w:t>
            </w:r>
          </w:p>
        </w:tc>
        <w:tc>
          <w:tcPr>
            <w:tcW w:w="1701" w:type="dxa"/>
          </w:tcPr>
          <w:p w14:paraId="1E7D9966" w14:textId="77777777" w:rsidR="008B0234" w:rsidRPr="00432792" w:rsidRDefault="008B0234" w:rsidP="001867F8">
            <w:pPr>
              <w:jc w:val="center"/>
              <w:rPr>
                <w:rFonts w:cstheme="minorHAnsi"/>
                <w:sz w:val="20"/>
                <w:szCs w:val="20"/>
              </w:rPr>
            </w:pPr>
            <w:r w:rsidRPr="00432792" w:rsidDel="009E7BDC">
              <w:rPr>
                <w:rFonts w:cstheme="minorHAnsi"/>
                <w:sz w:val="20"/>
                <w:szCs w:val="20"/>
              </w:rPr>
              <w:t>3</w:t>
            </w:r>
            <w:r>
              <w:rPr>
                <w:rFonts w:cstheme="minorHAnsi"/>
                <w:sz w:val="20"/>
                <w:szCs w:val="20"/>
              </w:rPr>
              <w:t>,912</w:t>
            </w:r>
          </w:p>
        </w:tc>
      </w:tr>
      <w:tr w:rsidR="008B0234" w:rsidRPr="00432792" w14:paraId="1FA2F41C" w14:textId="77777777" w:rsidTr="001867F8">
        <w:trPr>
          <w:jc w:val="center"/>
        </w:trPr>
        <w:tc>
          <w:tcPr>
            <w:tcW w:w="528" w:type="dxa"/>
          </w:tcPr>
          <w:p w14:paraId="6CC1A606" w14:textId="77777777" w:rsidR="008B0234" w:rsidRPr="00432792" w:rsidRDefault="008B0234" w:rsidP="001867F8">
            <w:pPr>
              <w:jc w:val="center"/>
              <w:rPr>
                <w:rFonts w:cstheme="minorHAnsi"/>
                <w:b/>
                <w:sz w:val="20"/>
                <w:szCs w:val="20"/>
              </w:rPr>
            </w:pPr>
            <w:r w:rsidRPr="00432792">
              <w:rPr>
                <w:rFonts w:cstheme="minorHAnsi"/>
                <w:b/>
                <w:sz w:val="20"/>
                <w:szCs w:val="20"/>
              </w:rPr>
              <w:t>G</w:t>
            </w:r>
          </w:p>
        </w:tc>
        <w:tc>
          <w:tcPr>
            <w:tcW w:w="5102" w:type="dxa"/>
          </w:tcPr>
          <w:p w14:paraId="5C0B31AF" w14:textId="432C3339" w:rsidR="008B0234" w:rsidRPr="00475E43" w:rsidRDefault="1001E23A" w:rsidP="001867F8">
            <w:pPr>
              <w:jc w:val="center"/>
              <w:rPr>
                <w:rFonts w:cstheme="minorBidi"/>
                <w:sz w:val="20"/>
                <w:szCs w:val="20"/>
              </w:rPr>
            </w:pPr>
            <w:r w:rsidRPr="108EF35C">
              <w:rPr>
                <w:rFonts w:cstheme="minorBidi"/>
                <w:sz w:val="20"/>
                <w:szCs w:val="20"/>
              </w:rPr>
              <w:t>Outstanding permissions on small sites of less than 10 dwellings (</w:t>
            </w:r>
            <w:r w:rsidR="262C2517" w:rsidRPr="108EF35C">
              <w:rPr>
                <w:rFonts w:cstheme="minorBidi"/>
                <w:sz w:val="20"/>
                <w:szCs w:val="20"/>
              </w:rPr>
              <w:t>commitments</w:t>
            </w:r>
            <w:r w:rsidRPr="108EF35C">
              <w:rPr>
                <w:rFonts w:cstheme="minorBidi"/>
                <w:sz w:val="20"/>
                <w:szCs w:val="20"/>
              </w:rPr>
              <w:t>)</w:t>
            </w:r>
          </w:p>
          <w:p w14:paraId="347DEA01" w14:textId="77777777" w:rsidR="008B0234" w:rsidRPr="00475E43" w:rsidRDefault="008B0234" w:rsidP="001867F8">
            <w:pPr>
              <w:jc w:val="center"/>
              <w:rPr>
                <w:rFonts w:cstheme="minorHAnsi"/>
                <w:sz w:val="20"/>
                <w:szCs w:val="20"/>
              </w:rPr>
            </w:pPr>
            <w:r w:rsidRPr="00475E43">
              <w:rPr>
                <w:rFonts w:cstheme="minorHAnsi"/>
                <w:sz w:val="20"/>
                <w:szCs w:val="20"/>
              </w:rPr>
              <w:t>(2021/22 – 2023/24)</w:t>
            </w:r>
          </w:p>
        </w:tc>
        <w:tc>
          <w:tcPr>
            <w:tcW w:w="1701" w:type="dxa"/>
          </w:tcPr>
          <w:p w14:paraId="5D8703A0" w14:textId="77777777" w:rsidR="008B0234" w:rsidRPr="00475E43" w:rsidRDefault="008B0234" w:rsidP="001867F8">
            <w:pPr>
              <w:jc w:val="center"/>
              <w:rPr>
                <w:rFonts w:cstheme="minorHAnsi"/>
                <w:sz w:val="20"/>
                <w:szCs w:val="20"/>
              </w:rPr>
            </w:pPr>
            <w:r w:rsidRPr="00475E43">
              <w:rPr>
                <w:rFonts w:cstheme="minorHAnsi"/>
                <w:sz w:val="20"/>
                <w:szCs w:val="20"/>
              </w:rPr>
              <w:t>129</w:t>
            </w:r>
          </w:p>
        </w:tc>
      </w:tr>
      <w:tr w:rsidR="008B0234" w:rsidRPr="00432792" w14:paraId="375AC242" w14:textId="77777777" w:rsidTr="001867F8">
        <w:trPr>
          <w:jc w:val="center"/>
        </w:trPr>
        <w:tc>
          <w:tcPr>
            <w:tcW w:w="528" w:type="dxa"/>
          </w:tcPr>
          <w:p w14:paraId="497B87A0" w14:textId="77777777" w:rsidR="008B0234" w:rsidRPr="00432792" w:rsidRDefault="008B0234" w:rsidP="001867F8">
            <w:pPr>
              <w:jc w:val="center"/>
              <w:rPr>
                <w:rFonts w:cstheme="minorHAnsi"/>
                <w:b/>
                <w:sz w:val="20"/>
                <w:szCs w:val="20"/>
              </w:rPr>
            </w:pPr>
            <w:r w:rsidRPr="00432792">
              <w:rPr>
                <w:rFonts w:cstheme="minorHAnsi"/>
                <w:b/>
                <w:sz w:val="20"/>
                <w:szCs w:val="20"/>
              </w:rPr>
              <w:t>H</w:t>
            </w:r>
          </w:p>
        </w:tc>
        <w:tc>
          <w:tcPr>
            <w:tcW w:w="5102" w:type="dxa"/>
          </w:tcPr>
          <w:p w14:paraId="230EDA78" w14:textId="77777777" w:rsidR="008B0234" w:rsidRPr="00B92D22" w:rsidRDefault="1001E23A" w:rsidP="001867F8">
            <w:pPr>
              <w:jc w:val="center"/>
              <w:rPr>
                <w:rFonts w:cstheme="minorBidi"/>
                <w:sz w:val="20"/>
                <w:szCs w:val="20"/>
              </w:rPr>
            </w:pPr>
            <w:r w:rsidRPr="108EF35C">
              <w:rPr>
                <w:rFonts w:cstheme="minorBidi"/>
                <w:sz w:val="20"/>
                <w:szCs w:val="20"/>
              </w:rPr>
              <w:t>Windfall allowance</w:t>
            </w:r>
          </w:p>
          <w:p w14:paraId="0BE0032A" w14:textId="77777777" w:rsidR="008B0234" w:rsidRPr="00B92D22" w:rsidRDefault="1001E23A" w:rsidP="001867F8">
            <w:pPr>
              <w:jc w:val="center"/>
              <w:rPr>
                <w:rFonts w:cstheme="minorBidi"/>
                <w:sz w:val="20"/>
                <w:szCs w:val="20"/>
                <w:highlight w:val="yellow"/>
              </w:rPr>
            </w:pPr>
            <w:r w:rsidRPr="108EF35C">
              <w:rPr>
                <w:rFonts w:cstheme="minorBidi"/>
                <w:sz w:val="20"/>
                <w:szCs w:val="20"/>
              </w:rPr>
              <w:t>(2024/25 – 2025/26)</w:t>
            </w:r>
          </w:p>
        </w:tc>
        <w:tc>
          <w:tcPr>
            <w:tcW w:w="1701" w:type="dxa"/>
          </w:tcPr>
          <w:p w14:paraId="2BE6265F" w14:textId="77777777" w:rsidR="008B0234" w:rsidRPr="00B92D22" w:rsidRDefault="1001E23A" w:rsidP="001867F8">
            <w:pPr>
              <w:jc w:val="center"/>
              <w:rPr>
                <w:rFonts w:cstheme="minorBidi"/>
                <w:sz w:val="20"/>
                <w:szCs w:val="20"/>
              </w:rPr>
            </w:pPr>
            <w:r w:rsidRPr="108EF35C">
              <w:rPr>
                <w:rFonts w:cstheme="minorBidi"/>
                <w:sz w:val="20"/>
                <w:szCs w:val="20"/>
              </w:rPr>
              <w:t>272</w:t>
            </w:r>
          </w:p>
        </w:tc>
      </w:tr>
      <w:tr w:rsidR="008B0234" w:rsidRPr="00432792" w14:paraId="3D9E89E5" w14:textId="77777777" w:rsidTr="001867F8">
        <w:trPr>
          <w:jc w:val="center"/>
        </w:trPr>
        <w:tc>
          <w:tcPr>
            <w:tcW w:w="528" w:type="dxa"/>
            <w:tcBorders>
              <w:bottom w:val="single" w:sz="4" w:space="0" w:color="auto"/>
            </w:tcBorders>
          </w:tcPr>
          <w:p w14:paraId="2FDB3D36" w14:textId="77777777" w:rsidR="008B0234" w:rsidRPr="00432792" w:rsidRDefault="008B0234" w:rsidP="001867F8">
            <w:pPr>
              <w:jc w:val="center"/>
              <w:rPr>
                <w:rFonts w:cstheme="minorHAnsi"/>
                <w:b/>
                <w:sz w:val="20"/>
                <w:szCs w:val="20"/>
              </w:rPr>
            </w:pPr>
            <w:r w:rsidRPr="00432792">
              <w:rPr>
                <w:rFonts w:cstheme="minorHAnsi"/>
                <w:b/>
                <w:sz w:val="20"/>
                <w:szCs w:val="20"/>
              </w:rPr>
              <w:t>I</w:t>
            </w:r>
          </w:p>
        </w:tc>
        <w:tc>
          <w:tcPr>
            <w:tcW w:w="5102" w:type="dxa"/>
          </w:tcPr>
          <w:p w14:paraId="08C8154A" w14:textId="77777777" w:rsidR="008B0234" w:rsidRPr="00B92D22" w:rsidRDefault="1001E23A" w:rsidP="001867F8">
            <w:pPr>
              <w:jc w:val="center"/>
              <w:rPr>
                <w:rFonts w:cstheme="minorBidi"/>
                <w:sz w:val="20"/>
                <w:szCs w:val="20"/>
              </w:rPr>
            </w:pPr>
            <w:r w:rsidRPr="108EF35C">
              <w:rPr>
                <w:rFonts w:cstheme="minorBidi"/>
                <w:sz w:val="20"/>
                <w:szCs w:val="20"/>
              </w:rPr>
              <w:t>Total supply</w:t>
            </w:r>
          </w:p>
          <w:p w14:paraId="7EE57519" w14:textId="77777777" w:rsidR="008B0234" w:rsidRPr="00B92D22" w:rsidRDefault="1001E23A" w:rsidP="001867F8">
            <w:pPr>
              <w:jc w:val="center"/>
              <w:rPr>
                <w:rFonts w:cstheme="minorBidi"/>
                <w:sz w:val="20"/>
                <w:szCs w:val="20"/>
              </w:rPr>
            </w:pPr>
            <w:r w:rsidRPr="108EF35C">
              <w:rPr>
                <w:rFonts w:cstheme="minorBidi"/>
                <w:sz w:val="20"/>
                <w:szCs w:val="20"/>
              </w:rPr>
              <w:t>(</w:t>
            </w:r>
            <w:r w:rsidRPr="108EF35C">
              <w:rPr>
                <w:rFonts w:cstheme="minorBidi"/>
                <w:b/>
                <w:bCs/>
                <w:sz w:val="20"/>
                <w:szCs w:val="20"/>
              </w:rPr>
              <w:t>F</w:t>
            </w:r>
            <w:r w:rsidRPr="108EF35C">
              <w:rPr>
                <w:rFonts w:cstheme="minorBidi"/>
                <w:sz w:val="20"/>
                <w:szCs w:val="20"/>
              </w:rPr>
              <w:t>+</w:t>
            </w:r>
            <w:r w:rsidRPr="108EF35C">
              <w:rPr>
                <w:rFonts w:cstheme="minorBidi"/>
                <w:b/>
                <w:bCs/>
                <w:sz w:val="20"/>
                <w:szCs w:val="20"/>
              </w:rPr>
              <w:t>G</w:t>
            </w:r>
            <w:r w:rsidRPr="108EF35C">
              <w:rPr>
                <w:rFonts w:cstheme="minorBidi"/>
                <w:sz w:val="20"/>
                <w:szCs w:val="20"/>
              </w:rPr>
              <w:t>+</w:t>
            </w:r>
            <w:r w:rsidRPr="108EF35C">
              <w:rPr>
                <w:rFonts w:cstheme="minorBidi"/>
                <w:b/>
                <w:bCs/>
                <w:sz w:val="20"/>
                <w:szCs w:val="20"/>
              </w:rPr>
              <w:t>H</w:t>
            </w:r>
            <w:r w:rsidRPr="108EF35C">
              <w:rPr>
                <w:rFonts w:cstheme="minorBidi"/>
                <w:sz w:val="20"/>
                <w:szCs w:val="20"/>
              </w:rPr>
              <w:t>)</w:t>
            </w:r>
          </w:p>
        </w:tc>
        <w:tc>
          <w:tcPr>
            <w:tcW w:w="1701" w:type="dxa"/>
          </w:tcPr>
          <w:p w14:paraId="43CA2948" w14:textId="77777777" w:rsidR="008B0234" w:rsidRPr="00B92D22" w:rsidRDefault="1001E23A" w:rsidP="001867F8">
            <w:pPr>
              <w:jc w:val="center"/>
              <w:rPr>
                <w:rFonts w:cstheme="minorBidi"/>
                <w:sz w:val="20"/>
                <w:szCs w:val="20"/>
              </w:rPr>
            </w:pPr>
            <w:r w:rsidRPr="108EF35C">
              <w:rPr>
                <w:rFonts w:cstheme="minorBidi"/>
                <w:sz w:val="20"/>
                <w:szCs w:val="20"/>
              </w:rPr>
              <w:t>4313</w:t>
            </w:r>
          </w:p>
        </w:tc>
      </w:tr>
      <w:tr w:rsidR="008B0234" w:rsidRPr="00432792" w14:paraId="25147AE0" w14:textId="77777777" w:rsidTr="001867F8">
        <w:trPr>
          <w:jc w:val="center"/>
        </w:trPr>
        <w:tc>
          <w:tcPr>
            <w:tcW w:w="528" w:type="dxa"/>
            <w:tcBorders>
              <w:left w:val="nil"/>
              <w:bottom w:val="nil"/>
            </w:tcBorders>
            <w:shd w:val="clear" w:color="auto" w:fill="auto"/>
          </w:tcPr>
          <w:p w14:paraId="061CEEC3" w14:textId="77777777" w:rsidR="008B0234" w:rsidRPr="00432792" w:rsidRDefault="008B0234" w:rsidP="001867F8">
            <w:pPr>
              <w:jc w:val="center"/>
              <w:rPr>
                <w:rFonts w:cstheme="minorHAnsi"/>
                <w:b/>
                <w:sz w:val="20"/>
                <w:szCs w:val="20"/>
                <w:highlight w:val="yellow"/>
              </w:rPr>
            </w:pPr>
          </w:p>
          <w:p w14:paraId="1F0056C7" w14:textId="77777777" w:rsidR="008B0234" w:rsidRPr="00432792" w:rsidRDefault="008B0234" w:rsidP="001867F8">
            <w:pPr>
              <w:jc w:val="center"/>
              <w:rPr>
                <w:rFonts w:cstheme="minorHAnsi"/>
                <w:sz w:val="20"/>
                <w:szCs w:val="20"/>
                <w:highlight w:val="yellow"/>
              </w:rPr>
            </w:pPr>
          </w:p>
        </w:tc>
        <w:tc>
          <w:tcPr>
            <w:tcW w:w="5102" w:type="dxa"/>
            <w:shd w:val="clear" w:color="auto" w:fill="FBE4D5" w:themeFill="accent2" w:themeFillTint="33"/>
          </w:tcPr>
          <w:p w14:paraId="6B0DE303" w14:textId="77777777" w:rsidR="008B0234" w:rsidRPr="00432792" w:rsidRDefault="008B0234" w:rsidP="001867F8">
            <w:pPr>
              <w:jc w:val="center"/>
              <w:rPr>
                <w:rFonts w:cstheme="minorHAnsi"/>
                <w:sz w:val="20"/>
                <w:szCs w:val="20"/>
              </w:rPr>
            </w:pPr>
            <w:r w:rsidRPr="00432792">
              <w:rPr>
                <w:rFonts w:cstheme="minorHAnsi"/>
                <w:sz w:val="20"/>
                <w:szCs w:val="20"/>
              </w:rPr>
              <w:t>5 year land supply</w:t>
            </w:r>
          </w:p>
          <w:p w14:paraId="0ECAD850" w14:textId="77777777" w:rsidR="008B0234" w:rsidRPr="00432792" w:rsidRDefault="008B0234" w:rsidP="001867F8">
            <w:pPr>
              <w:jc w:val="center"/>
              <w:rPr>
                <w:rFonts w:cstheme="minorHAnsi"/>
                <w:sz w:val="20"/>
                <w:szCs w:val="20"/>
              </w:rPr>
            </w:pPr>
            <w:r w:rsidRPr="00432792">
              <w:rPr>
                <w:rFonts w:cstheme="minorHAnsi"/>
                <w:sz w:val="20"/>
                <w:szCs w:val="20"/>
              </w:rPr>
              <w:t>((</w:t>
            </w:r>
            <w:r w:rsidRPr="00432792">
              <w:rPr>
                <w:rFonts w:cstheme="minorHAnsi"/>
                <w:b/>
                <w:sz w:val="20"/>
                <w:szCs w:val="20"/>
              </w:rPr>
              <w:t>I</w:t>
            </w:r>
            <w:r w:rsidRPr="00432792">
              <w:rPr>
                <w:rFonts w:cstheme="minorHAnsi"/>
                <w:sz w:val="20"/>
                <w:szCs w:val="20"/>
              </w:rPr>
              <w:t>/</w:t>
            </w:r>
            <w:r w:rsidRPr="00432792">
              <w:rPr>
                <w:rFonts w:cstheme="minorHAnsi"/>
                <w:b/>
                <w:sz w:val="20"/>
                <w:szCs w:val="20"/>
              </w:rPr>
              <w:t>E</w:t>
            </w:r>
            <w:r w:rsidRPr="00432792">
              <w:rPr>
                <w:rFonts w:cstheme="minorHAnsi"/>
                <w:sz w:val="20"/>
                <w:szCs w:val="20"/>
              </w:rPr>
              <w:t>) x 5)</w:t>
            </w:r>
          </w:p>
        </w:tc>
        <w:tc>
          <w:tcPr>
            <w:tcW w:w="1701" w:type="dxa"/>
            <w:shd w:val="clear" w:color="auto" w:fill="FBE4D5" w:themeFill="accent2" w:themeFillTint="33"/>
          </w:tcPr>
          <w:p w14:paraId="16D93009" w14:textId="217D6B5A" w:rsidR="008B0234" w:rsidRPr="00351F41" w:rsidRDefault="1001E23A" w:rsidP="001867F8">
            <w:pPr>
              <w:jc w:val="center"/>
              <w:rPr>
                <w:rFonts w:cstheme="minorBidi"/>
                <w:sz w:val="20"/>
                <w:szCs w:val="20"/>
              </w:rPr>
            </w:pPr>
            <w:r w:rsidRPr="108EF35C">
              <w:rPr>
                <w:rFonts w:cstheme="minorBidi"/>
                <w:sz w:val="20"/>
                <w:szCs w:val="20"/>
              </w:rPr>
              <w:t>7.</w:t>
            </w:r>
            <w:r w:rsidR="37807B00" w:rsidRPr="108EF35C">
              <w:rPr>
                <w:rFonts w:cstheme="minorBidi"/>
                <w:sz w:val="20"/>
                <w:szCs w:val="20"/>
              </w:rPr>
              <w:t>78</w:t>
            </w:r>
          </w:p>
        </w:tc>
      </w:tr>
    </w:tbl>
    <w:p w14:paraId="4001F104" w14:textId="6EF8846E" w:rsidR="00CC48C4" w:rsidRPr="00C01EF4" w:rsidRDefault="000109E8" w:rsidP="001867F8">
      <w:pPr>
        <w:tabs>
          <w:tab w:val="left" w:pos="709"/>
        </w:tabs>
        <w:autoSpaceDE w:val="0"/>
        <w:autoSpaceDN w:val="0"/>
        <w:adjustRightInd w:val="0"/>
        <w:spacing w:before="360" w:after="200" w:line="276" w:lineRule="auto"/>
        <w:ind w:left="567" w:right="-45"/>
        <w:jc w:val="center"/>
        <w:rPr>
          <w:rFonts w:eastAsia="Calibri"/>
          <w:sz w:val="20"/>
          <w:szCs w:val="20"/>
        </w:rPr>
      </w:pPr>
      <w:r>
        <w:rPr>
          <w:rFonts w:eastAsia="Calibri"/>
          <w:b/>
          <w:bCs/>
          <w:color w:val="000000" w:themeColor="text1"/>
          <w:sz w:val="20"/>
          <w:szCs w:val="20"/>
        </w:rPr>
        <w:t>Table 17</w:t>
      </w:r>
      <w:r w:rsidR="00CC48C4" w:rsidRPr="00C01EF4">
        <w:rPr>
          <w:rFonts w:eastAsia="Calibri"/>
          <w:b/>
          <w:bCs/>
          <w:color w:val="000000" w:themeColor="text1"/>
          <w:sz w:val="20"/>
          <w:szCs w:val="20"/>
        </w:rPr>
        <w:t xml:space="preserve">: </w:t>
      </w:r>
      <w:r w:rsidR="00CC48C4" w:rsidRPr="00C01EF4">
        <w:rPr>
          <w:rFonts w:eastAsia="Calibri"/>
          <w:color w:val="000000" w:themeColor="text1"/>
          <w:sz w:val="20"/>
          <w:szCs w:val="20"/>
        </w:rPr>
        <w:t>Oxford’s housing land supply 2021/22 – 2025/26</w:t>
      </w:r>
    </w:p>
    <w:p w14:paraId="2437B67A" w14:textId="2EB55FA4" w:rsidR="00FB6398" w:rsidRDefault="35B8BBBA" w:rsidP="0012619C">
      <w:pPr>
        <w:keepNext/>
        <w:numPr>
          <w:ilvl w:val="1"/>
          <w:numId w:val="11"/>
        </w:numPr>
        <w:spacing w:before="240" w:after="200" w:line="276" w:lineRule="auto"/>
        <w:ind w:left="567" w:hanging="567"/>
        <w:jc w:val="both"/>
      </w:pPr>
      <w:r>
        <w:t>The housing land supply of 7.</w:t>
      </w:r>
      <w:r w:rsidR="2B414595">
        <w:t>78</w:t>
      </w:r>
      <w:r>
        <w:t xml:space="preserve"> years is higher than the figure reported in last year’s AMR.  There are several reasons for this including the </w:t>
      </w:r>
      <w:r w:rsidR="584D99EC">
        <w:t xml:space="preserve">number </w:t>
      </w:r>
      <w:r>
        <w:t xml:space="preserve">of completions recorded over the past two years.  These figures have been considerably higher than the Local Plan requirement of 475 dwellings per annum and include several large student developments which are included as a C3 equivalent figure (887 rooms, 355 C3 equivalent at former British </w:t>
      </w:r>
      <w:r w:rsidR="3C46DEFF">
        <w:t>T</w:t>
      </w:r>
      <w:r>
        <w:t xml:space="preserve">elecom Site, James Wolfe Road in 2019/20 (18/03082/VAR); 514 rooms, 206 C3 equivalent at Student Castle in 2020/21 (16/02945/FUL)).  This has resulted in a </w:t>
      </w:r>
      <w:r w:rsidR="6AB63F74">
        <w:t xml:space="preserve">delivery </w:t>
      </w:r>
      <w:r>
        <w:t>of housing</w:t>
      </w:r>
      <w:r w:rsidR="3176BCC1">
        <w:t xml:space="preserve"> above the requirement level</w:t>
      </w:r>
      <w:r>
        <w:t xml:space="preserve">.  Over the next 5 year period, it is anticipated that in addition to current commitments (minor sites of less than 10 units that have a planning consent/resolution to grant permission or have commenced development but have yet to complete) some of the Local Plan allocated sites will also begin to deliver housing.  These include the Oxford North site which received a hybrid planning permission in March 2021 for up to 480 residential units.  </w:t>
      </w:r>
    </w:p>
    <w:p w14:paraId="01849763" w14:textId="69945B25" w:rsidR="00FB6398" w:rsidRPr="005B0327" w:rsidRDefault="00FB6398" w:rsidP="0032728C">
      <w:pPr>
        <w:pStyle w:val="Heading2"/>
        <w:spacing w:after="200" w:line="276" w:lineRule="auto"/>
        <w:ind w:right="-46"/>
      </w:pPr>
      <w:bookmarkStart w:id="45" w:name="_Toc88135863"/>
      <w:r w:rsidRPr="00432792">
        <w:t>Health</w:t>
      </w:r>
      <w:bookmarkEnd w:id="45"/>
    </w:p>
    <w:p w14:paraId="77234691" w14:textId="03C00B3C" w:rsidR="00530AD2" w:rsidRPr="0032728C" w:rsidRDefault="35B8BBBA" w:rsidP="0012619C">
      <w:pPr>
        <w:keepNext/>
        <w:numPr>
          <w:ilvl w:val="1"/>
          <w:numId w:val="11"/>
        </w:numPr>
        <w:spacing w:before="240" w:after="200" w:line="276" w:lineRule="auto"/>
        <w:ind w:left="567" w:hanging="567"/>
        <w:jc w:val="both"/>
      </w:pPr>
      <w:r>
        <w:t>The Local Plan sets out that the City Council will seek to promote strong, vibrant and healthy communities and to reduce health inequalities a key element of policy RE5 is the requirement that major development proposals will need to be accompanied by a Health Impact Assessment (HIA)</w:t>
      </w:r>
      <w:r w:rsidR="028BC87E">
        <w:t xml:space="preserve">.  This HIA will </w:t>
      </w:r>
      <w:r>
        <w:t>assess the potential for maximising the opportunities for promoting healthy lifestyles within new development.</w:t>
      </w:r>
    </w:p>
    <w:p w14:paraId="77611671" w14:textId="68C6C11A" w:rsidR="008B0234" w:rsidRDefault="35B8BBBA" w:rsidP="0012619C">
      <w:pPr>
        <w:keepNext/>
        <w:numPr>
          <w:ilvl w:val="1"/>
          <w:numId w:val="11"/>
        </w:numPr>
        <w:spacing w:before="240" w:after="200" w:line="276" w:lineRule="auto"/>
        <w:ind w:left="567" w:hanging="567"/>
        <w:jc w:val="both"/>
      </w:pPr>
      <w:r>
        <w:t xml:space="preserve">During the 2020/21 monitoring period, the majority of planning applications for new build development that were decided </w:t>
      </w:r>
      <w:r w:rsidR="7F0C7D43">
        <w:t>against</w:t>
      </w:r>
      <w:r>
        <w:t xml:space="preserve"> the new Local Plan and that would have been required to be accompanied by a </w:t>
      </w:r>
      <w:r w:rsidR="00C059E6">
        <w:t xml:space="preserve">HIA </w:t>
      </w:r>
      <w:r>
        <w:t xml:space="preserve">included a HIA. </w:t>
      </w:r>
      <w:r w:rsidR="0A9D5B20">
        <w:t>There were several</w:t>
      </w:r>
      <w:r>
        <w:t xml:space="preserve"> application</w:t>
      </w:r>
      <w:r w:rsidR="0A9D5B20">
        <w:t>s decided</w:t>
      </w:r>
      <w:r w:rsidR="7F0C7D43">
        <w:t xml:space="preserve"> in the initial months</w:t>
      </w:r>
      <w:r w:rsidR="0A9D5B20">
        <w:t xml:space="preserve"> after the new plan’s adoption</w:t>
      </w:r>
      <w:r w:rsidR="7F0C7D43">
        <w:t xml:space="preserve"> which did not prepare an HIA as they </w:t>
      </w:r>
      <w:r w:rsidR="0A9D5B20">
        <w:t xml:space="preserve">had been submitted to the Council </w:t>
      </w:r>
      <w:r w:rsidR="7F0C7D43">
        <w:t>in the months before the plan was finalised and</w:t>
      </w:r>
      <w:r w:rsidR="0A9D5B20">
        <w:t xml:space="preserve"> as policies were still emerging. Due to the transitioning year between the former and current Local Plan this wa</w:t>
      </w:r>
      <w:r w:rsidR="7F0C7D43">
        <w:t>s to be expected to some degree</w:t>
      </w:r>
      <w:r w:rsidR="0A9D5B20">
        <w:t>.</w:t>
      </w:r>
      <w:r w:rsidR="7F0C7D43">
        <w:t xml:space="preserve"> One of the latest of these permissions which subsequently did not include an HIA was application 19/02306/FUL, which was permitted in January 2021 but had been submitted to the Council in September 2019. The requirement for an HIA is now part of the validation process for new major applications and as such going forwards this should not happen in subsequent monitoring periods.</w:t>
      </w:r>
    </w:p>
    <w:p w14:paraId="6FC996FA" w14:textId="77777777" w:rsidR="00FB6398" w:rsidRPr="00432792" w:rsidRDefault="00FB6398" w:rsidP="0032728C">
      <w:pPr>
        <w:pStyle w:val="Heading2"/>
        <w:spacing w:after="200" w:line="276" w:lineRule="auto"/>
        <w:ind w:right="-46"/>
      </w:pPr>
      <w:bookmarkStart w:id="46" w:name="_Toc88135864"/>
      <w:r w:rsidRPr="00432792">
        <w:t>Wider Health and wellbeing updates</w:t>
      </w:r>
      <w:bookmarkEnd w:id="46"/>
    </w:p>
    <w:p w14:paraId="3BDE1958" w14:textId="487C7885" w:rsidR="0012619C" w:rsidRPr="0012619C" w:rsidRDefault="35B8BBBA" w:rsidP="0012619C">
      <w:pPr>
        <w:pStyle w:val="ListParagraph"/>
        <w:keepNext/>
        <w:numPr>
          <w:ilvl w:val="1"/>
          <w:numId w:val="11"/>
        </w:numPr>
        <w:spacing w:before="240" w:after="200" w:line="276" w:lineRule="auto"/>
        <w:ind w:hanging="502"/>
        <w:jc w:val="both"/>
        <w:rPr>
          <w:rFonts w:asciiTheme="minorHAnsi" w:hAnsiTheme="minorHAnsi" w:cstheme="minorBidi"/>
          <w:szCs w:val="22"/>
        </w:rPr>
      </w:pPr>
      <w:r w:rsidRPr="0012619C">
        <w:rPr>
          <w:rFonts w:asciiTheme="minorHAnsi" w:hAnsiTheme="minorHAnsi" w:cstheme="minorBidi"/>
          <w:szCs w:val="22"/>
        </w:rPr>
        <w:t xml:space="preserve">The Oxfordshire Joint Strategic Needs Assessment (JSNA) monitors trends in the health and wellbeing of Oxfordshire’s population and assesses changing patterns of need and demand for services across the county. During the monitoring period an update to the JSNA was being developed and was subsequently published in June 2021 and is available from the Oxfordshire </w:t>
      </w:r>
      <w:r w:rsidRPr="0012619C">
        <w:rPr>
          <w:rFonts w:asciiTheme="minorHAnsi" w:hAnsiTheme="minorHAnsi" w:cstheme="minorBidi"/>
          <w:szCs w:val="22"/>
        </w:rPr>
        <w:lastRenderedPageBreak/>
        <w:t>Insight website</w:t>
      </w:r>
      <w:r w:rsidR="00FB6398" w:rsidRPr="0012619C">
        <w:rPr>
          <w:rFonts w:asciiTheme="minorHAnsi" w:hAnsiTheme="minorHAnsi" w:cstheme="minorBidi"/>
          <w:szCs w:val="22"/>
          <w:vertAlign w:val="superscript"/>
        </w:rPr>
        <w:footnoteReference w:id="9"/>
      </w:r>
      <w:r w:rsidRPr="0012619C">
        <w:rPr>
          <w:rFonts w:asciiTheme="minorHAnsi" w:hAnsiTheme="minorHAnsi" w:cstheme="minorBidi"/>
          <w:szCs w:val="22"/>
        </w:rPr>
        <w:t>. The district summary for Oxford highlights a range of indicators that continue to be worse than the national average including:</w:t>
      </w:r>
    </w:p>
    <w:p w14:paraId="7A293A58" w14:textId="77777777" w:rsidR="00FB6398" w:rsidRPr="0012619C" w:rsidRDefault="00FB6398" w:rsidP="0012619C">
      <w:pPr>
        <w:pStyle w:val="ListParagraph"/>
        <w:numPr>
          <w:ilvl w:val="0"/>
          <w:numId w:val="1"/>
        </w:numPr>
        <w:spacing w:line="276" w:lineRule="auto"/>
        <w:ind w:firstLine="273"/>
        <w:jc w:val="both"/>
        <w:rPr>
          <w:rFonts w:asciiTheme="minorHAnsi" w:eastAsiaTheme="minorEastAsia" w:hAnsiTheme="minorHAnsi" w:cstheme="minorHAnsi"/>
          <w:szCs w:val="22"/>
        </w:rPr>
      </w:pPr>
      <w:r w:rsidRPr="0012619C">
        <w:rPr>
          <w:rFonts w:asciiTheme="minorHAnsi" w:hAnsiTheme="minorHAnsi" w:cstheme="minorHAnsi"/>
        </w:rPr>
        <w:t xml:space="preserve">Child development at age 5 </w:t>
      </w:r>
    </w:p>
    <w:p w14:paraId="1AB03AE8" w14:textId="77777777" w:rsidR="00FB6398" w:rsidRPr="0012619C" w:rsidRDefault="00FB6398" w:rsidP="0012619C">
      <w:pPr>
        <w:pStyle w:val="ListParagraph"/>
        <w:numPr>
          <w:ilvl w:val="0"/>
          <w:numId w:val="1"/>
        </w:numPr>
        <w:spacing w:line="276" w:lineRule="auto"/>
        <w:ind w:firstLine="273"/>
        <w:jc w:val="both"/>
        <w:rPr>
          <w:rFonts w:asciiTheme="minorHAnsi" w:eastAsiaTheme="minorEastAsia" w:hAnsiTheme="minorHAnsi" w:cstheme="minorHAnsi"/>
          <w:szCs w:val="22"/>
        </w:rPr>
      </w:pPr>
      <w:r w:rsidRPr="0012619C">
        <w:rPr>
          <w:rFonts w:asciiTheme="minorHAnsi" w:hAnsiTheme="minorHAnsi" w:cstheme="minorHAnsi"/>
        </w:rPr>
        <w:t xml:space="preserve">Older people living alone </w:t>
      </w:r>
    </w:p>
    <w:p w14:paraId="75D09059" w14:textId="77777777" w:rsidR="00FB6398" w:rsidRPr="0012619C" w:rsidRDefault="00FB6398" w:rsidP="0012619C">
      <w:pPr>
        <w:pStyle w:val="ListParagraph"/>
        <w:numPr>
          <w:ilvl w:val="0"/>
          <w:numId w:val="1"/>
        </w:numPr>
        <w:spacing w:line="276" w:lineRule="auto"/>
        <w:ind w:firstLine="273"/>
        <w:jc w:val="both"/>
        <w:rPr>
          <w:rFonts w:asciiTheme="minorHAnsi" w:eastAsiaTheme="minorEastAsia" w:hAnsiTheme="minorHAnsi" w:cstheme="minorHAnsi"/>
          <w:szCs w:val="22"/>
        </w:rPr>
      </w:pPr>
      <w:r w:rsidRPr="0012619C">
        <w:rPr>
          <w:rFonts w:asciiTheme="minorHAnsi" w:hAnsiTheme="minorHAnsi" w:cstheme="minorHAnsi"/>
        </w:rPr>
        <w:t xml:space="preserve">Admissions for injuries in under 15s </w:t>
      </w:r>
    </w:p>
    <w:p w14:paraId="5D3E9DC4" w14:textId="77777777" w:rsidR="00FB6398" w:rsidRPr="0012619C" w:rsidRDefault="00FB6398" w:rsidP="0012619C">
      <w:pPr>
        <w:pStyle w:val="ListParagraph"/>
        <w:numPr>
          <w:ilvl w:val="0"/>
          <w:numId w:val="1"/>
        </w:numPr>
        <w:spacing w:line="276" w:lineRule="auto"/>
        <w:ind w:firstLine="273"/>
        <w:jc w:val="both"/>
        <w:rPr>
          <w:rFonts w:asciiTheme="minorHAnsi" w:eastAsiaTheme="minorEastAsia" w:hAnsiTheme="minorHAnsi" w:cstheme="minorHAnsi"/>
          <w:szCs w:val="22"/>
        </w:rPr>
      </w:pPr>
      <w:r w:rsidRPr="0012619C">
        <w:rPr>
          <w:rFonts w:asciiTheme="minorHAnsi" w:hAnsiTheme="minorHAnsi" w:cstheme="minorHAnsi"/>
        </w:rPr>
        <w:t xml:space="preserve">Emergency hospital admissions for all causes, all ages </w:t>
      </w:r>
    </w:p>
    <w:p w14:paraId="463756B9" w14:textId="1F77E4BD" w:rsidR="00FB6398" w:rsidRPr="0012619C" w:rsidRDefault="35B8BBBA" w:rsidP="0012619C">
      <w:pPr>
        <w:pStyle w:val="ListParagraph"/>
        <w:numPr>
          <w:ilvl w:val="0"/>
          <w:numId w:val="1"/>
        </w:numPr>
        <w:spacing w:line="276" w:lineRule="auto"/>
        <w:ind w:firstLine="273"/>
        <w:jc w:val="both"/>
        <w:rPr>
          <w:rFonts w:asciiTheme="minorHAnsi" w:eastAsiaTheme="minorEastAsia" w:hAnsiTheme="minorHAnsi" w:cstheme="minorHAnsi"/>
          <w:szCs w:val="22"/>
        </w:rPr>
      </w:pPr>
      <w:r w:rsidRPr="0012619C">
        <w:rPr>
          <w:rFonts w:asciiTheme="minorHAnsi" w:hAnsiTheme="minorHAnsi" w:cstheme="minorHAnsi"/>
        </w:rPr>
        <w:t xml:space="preserve">Hospital stays for </w:t>
      </w:r>
      <w:r w:rsidR="00CC48C4" w:rsidRPr="0012619C">
        <w:rPr>
          <w:rFonts w:asciiTheme="minorHAnsi" w:hAnsiTheme="minorHAnsi" w:cstheme="minorHAnsi"/>
        </w:rPr>
        <w:t>self-</w:t>
      </w:r>
      <w:r w:rsidR="43D68407" w:rsidRPr="0012619C">
        <w:rPr>
          <w:rFonts w:asciiTheme="minorHAnsi" w:hAnsiTheme="minorHAnsi" w:cstheme="minorHAnsi"/>
        </w:rPr>
        <w:t>harm</w:t>
      </w:r>
      <w:r w:rsidRPr="0012619C">
        <w:rPr>
          <w:rFonts w:asciiTheme="minorHAnsi" w:hAnsiTheme="minorHAnsi" w:cstheme="minorHAnsi"/>
        </w:rPr>
        <w:t xml:space="preserve"> </w:t>
      </w:r>
    </w:p>
    <w:p w14:paraId="168595FE" w14:textId="07975D39" w:rsidR="00530AD2" w:rsidRPr="0012619C" w:rsidRDefault="00FB6398" w:rsidP="0012619C">
      <w:pPr>
        <w:pStyle w:val="ListParagraph"/>
        <w:numPr>
          <w:ilvl w:val="0"/>
          <w:numId w:val="1"/>
        </w:numPr>
        <w:spacing w:line="276" w:lineRule="auto"/>
        <w:ind w:firstLine="273"/>
        <w:jc w:val="both"/>
        <w:rPr>
          <w:rFonts w:asciiTheme="minorHAnsi" w:eastAsiaTheme="minorEastAsia" w:hAnsiTheme="minorHAnsi" w:cstheme="minorHAnsi"/>
          <w:szCs w:val="22"/>
        </w:rPr>
      </w:pPr>
      <w:r w:rsidRPr="0012619C">
        <w:rPr>
          <w:rFonts w:asciiTheme="minorHAnsi" w:hAnsiTheme="minorHAnsi" w:cstheme="minorHAnsi"/>
        </w:rPr>
        <w:t>Hospital stays for alcohol related harm</w:t>
      </w:r>
      <w:r w:rsidR="00530AD2" w:rsidRPr="0012619C">
        <w:rPr>
          <w:rFonts w:asciiTheme="minorHAnsi" w:hAnsiTheme="minorHAnsi" w:cstheme="minorHAnsi"/>
        </w:rPr>
        <w:t>.</w:t>
      </w:r>
    </w:p>
    <w:p w14:paraId="623195C7" w14:textId="0FB18BC4" w:rsidR="00FB6398" w:rsidRDefault="35B8BBBA" w:rsidP="0012619C">
      <w:pPr>
        <w:keepNext/>
        <w:numPr>
          <w:ilvl w:val="1"/>
          <w:numId w:val="11"/>
        </w:numPr>
        <w:spacing w:before="240" w:after="200" w:line="276" w:lineRule="auto"/>
        <w:ind w:left="567" w:hanging="567"/>
        <w:jc w:val="both"/>
      </w:pPr>
      <w:r>
        <w:t>The summary also identifies that</w:t>
      </w:r>
      <w:r w:rsidR="54E5F26F">
        <w:t xml:space="preserve"> </w:t>
      </w:r>
      <w:r>
        <w:t>the areas of the city with the most health indicators which are worse than national average fall within the areas of Barton, Blackbird Leys, Churchill, Greater Leys, and Littlemore and Rose Hill.</w:t>
      </w:r>
    </w:p>
    <w:p w14:paraId="234BD886" w14:textId="77777777" w:rsidR="00FB6398" w:rsidRPr="00432792" w:rsidRDefault="35B8BBBA" w:rsidP="0032728C">
      <w:pPr>
        <w:pStyle w:val="Heading2"/>
        <w:spacing w:after="200" w:line="276" w:lineRule="auto"/>
        <w:ind w:right="-46"/>
      </w:pPr>
      <w:bookmarkStart w:id="47" w:name="_Toc88135865"/>
      <w:r>
        <w:t>Community Benefits</w:t>
      </w:r>
      <w:bookmarkEnd w:id="47"/>
    </w:p>
    <w:p w14:paraId="56537DCD" w14:textId="77777777" w:rsidR="00A60BD9" w:rsidRPr="00D31B85" w:rsidRDefault="00A60BD9" w:rsidP="00A60BD9">
      <w:pPr>
        <w:pStyle w:val="Default"/>
        <w:rPr>
          <w:rFonts w:asciiTheme="minorHAnsi" w:hAnsiTheme="minorHAnsi" w:cstheme="minorHAnsi"/>
          <w:sz w:val="22"/>
          <w:szCs w:val="20"/>
        </w:rPr>
      </w:pPr>
      <w:r w:rsidRPr="002A0ECC">
        <w:rPr>
          <w:rFonts w:asciiTheme="minorHAnsi" w:hAnsiTheme="minorHAnsi" w:cstheme="minorHAnsi"/>
          <w:b/>
          <w:szCs w:val="20"/>
        </w:rPr>
        <w:t xml:space="preserve">Venues for Cultural and social activities </w:t>
      </w:r>
    </w:p>
    <w:p w14:paraId="0BCF9350" w14:textId="48A43D53" w:rsidR="00530AD2" w:rsidRPr="005B0327" w:rsidRDefault="40596006" w:rsidP="0012069F">
      <w:pPr>
        <w:keepNext/>
        <w:numPr>
          <w:ilvl w:val="1"/>
          <w:numId w:val="11"/>
        </w:numPr>
        <w:spacing w:before="240" w:after="200" w:line="276" w:lineRule="auto"/>
        <w:ind w:left="567" w:hanging="567"/>
        <w:jc w:val="both"/>
      </w:pPr>
      <w:r>
        <w:t xml:space="preserve">Oxford has a rich infrastructure of cultural and social activities, which can be vulnerable to redevelopment pressures from higher land value uses. The City Council wants to encourage such uses to develop, modernise and adapt for the benefit of the communities they serve.  Policy V6: Cultural and Social Activities seeks to encourage proposals for new cultural and social uses in the city centre, district centres and appropriate town centres that can add vibrancy and activity, including development that adds to the city’s cultural diversity.  The policy also includes provisions to protect existing facilities. </w:t>
      </w:r>
    </w:p>
    <w:p w14:paraId="6BEC3BFC" w14:textId="54D35F89" w:rsidR="0040521B" w:rsidRPr="0012069F" w:rsidRDefault="40596006" w:rsidP="00983FDF">
      <w:pPr>
        <w:pStyle w:val="ListParagraph"/>
        <w:keepNext/>
        <w:numPr>
          <w:ilvl w:val="1"/>
          <w:numId w:val="11"/>
        </w:numPr>
        <w:spacing w:before="240" w:after="200" w:line="276" w:lineRule="auto"/>
        <w:ind w:hanging="502"/>
        <w:jc w:val="both"/>
        <w:rPr>
          <w:rFonts w:asciiTheme="minorHAnsi" w:hAnsiTheme="minorHAnsi" w:cstheme="minorHAnsi"/>
        </w:rPr>
      </w:pPr>
      <w:r w:rsidRPr="0012069F">
        <w:rPr>
          <w:rFonts w:asciiTheme="minorHAnsi" w:hAnsiTheme="minorHAnsi" w:cstheme="minorHAnsi"/>
        </w:rPr>
        <w:t>No permissions for new tourist and visitor attractions were granted over the monitoring period.</w:t>
      </w:r>
    </w:p>
    <w:p w14:paraId="11B12FCD" w14:textId="77777777" w:rsidR="00A60BD9" w:rsidRPr="002A0ECC" w:rsidRDefault="00A60BD9" w:rsidP="00A60BD9">
      <w:pPr>
        <w:pStyle w:val="Default"/>
        <w:rPr>
          <w:rFonts w:asciiTheme="minorHAnsi" w:hAnsiTheme="minorHAnsi" w:cstheme="minorHAnsi"/>
          <w:b/>
          <w:szCs w:val="20"/>
        </w:rPr>
      </w:pPr>
      <w:r w:rsidRPr="002A0ECC">
        <w:rPr>
          <w:rFonts w:asciiTheme="minorHAnsi" w:hAnsiTheme="minorHAnsi" w:cstheme="minorHAnsi"/>
          <w:b/>
          <w:szCs w:val="20"/>
        </w:rPr>
        <w:t>Cultural and community facilities</w:t>
      </w:r>
    </w:p>
    <w:p w14:paraId="31453AF8" w14:textId="4EA6E738" w:rsidR="00A60BD9" w:rsidRPr="005B0327" w:rsidRDefault="40596006" w:rsidP="0012069F">
      <w:pPr>
        <w:keepNext/>
        <w:numPr>
          <w:ilvl w:val="1"/>
          <w:numId w:val="11"/>
        </w:numPr>
        <w:spacing w:before="240" w:after="200" w:line="276" w:lineRule="auto"/>
        <w:ind w:left="567" w:hanging="567"/>
        <w:jc w:val="both"/>
      </w:pPr>
      <w:r>
        <w:t xml:space="preserve">It is important that new development in Oxford is supported by the appropriate infrastructure and community facilities. Providing and improving access to educational, health and community facilities greatly improves the quality of life for residents, builds strong communities </w:t>
      </w:r>
      <w:r w:rsidR="3EBDBD7B">
        <w:t>and</w:t>
      </w:r>
      <w:r>
        <w:t xml:space="preserve"> helps to address inequalities. The local plan through Policy V7: Infrastructure and cultural and community facilities seek</w:t>
      </w:r>
      <w:r w:rsidR="0391DF73">
        <w:t>s</w:t>
      </w:r>
      <w:r>
        <w:t xml:space="preserve"> to protect existing facilities and will support improvements and more intensive use of existing sites, as well as protect against the loss of such facilities without the provision of new or improved replacements that are similarly accessible.  Community facilities can include community centres, schools, children’s centres, meeting venues for the public or voluntary organisations, public halls and places of worship, leisure and indoor sports centres, pavilions, stadiums, public houses, club premises or arts buildings that serve a local community. </w:t>
      </w:r>
    </w:p>
    <w:p w14:paraId="47F3F6C3" w14:textId="77777777" w:rsidR="00A60BD9" w:rsidRPr="00FB6398" w:rsidRDefault="00A60BD9" w:rsidP="73C076F8">
      <w:pPr>
        <w:pStyle w:val="Default"/>
        <w:rPr>
          <w:rFonts w:asciiTheme="minorHAnsi" w:hAnsiTheme="minorHAnsi" w:cstheme="minorBidi"/>
          <w:color w:val="auto"/>
        </w:rPr>
      </w:pPr>
    </w:p>
    <w:p w14:paraId="5E902602" w14:textId="240500D2" w:rsidR="00A60BD9" w:rsidRPr="00530AD2" w:rsidRDefault="46789BB4" w:rsidP="0012069F">
      <w:pPr>
        <w:keepNext/>
        <w:numPr>
          <w:ilvl w:val="1"/>
          <w:numId w:val="11"/>
        </w:numPr>
        <w:spacing w:before="240" w:after="200" w:line="276" w:lineRule="auto"/>
        <w:ind w:left="567" w:hanging="567"/>
        <w:jc w:val="both"/>
      </w:pPr>
      <w:r>
        <w:lastRenderedPageBreak/>
        <w:t>During the monitoring period t</w:t>
      </w:r>
      <w:r w:rsidR="40596006">
        <w:t xml:space="preserve">he following permissions were granted for new community facilities and spaces, which involved no overall net loss.  Much of the additional </w:t>
      </w:r>
      <w:proofErr w:type="spellStart"/>
      <w:r w:rsidR="40596006">
        <w:t>floorspace</w:t>
      </w:r>
      <w:proofErr w:type="spellEnd"/>
      <w:r w:rsidR="40596006">
        <w:t xml:space="preserve"> was derived from changes of use of existing buildings or the expansion of existing premises.</w:t>
      </w:r>
    </w:p>
    <w:tbl>
      <w:tblPr>
        <w:tblStyle w:val="TableGrid"/>
        <w:tblW w:w="0" w:type="auto"/>
        <w:jc w:val="center"/>
        <w:tblLook w:val="04A0" w:firstRow="1" w:lastRow="0" w:firstColumn="1" w:lastColumn="0" w:noHBand="0" w:noVBand="1"/>
      </w:tblPr>
      <w:tblGrid>
        <w:gridCol w:w="1418"/>
        <w:gridCol w:w="1419"/>
        <w:gridCol w:w="2125"/>
        <w:gridCol w:w="2977"/>
      </w:tblGrid>
      <w:tr w:rsidR="00A60BD9" w:rsidRPr="00CF18C8" w14:paraId="5F65723D" w14:textId="77777777" w:rsidTr="00F6562C">
        <w:trPr>
          <w:tblHeader/>
          <w:jc w:val="center"/>
        </w:trPr>
        <w:tc>
          <w:tcPr>
            <w:tcW w:w="1418" w:type="dxa"/>
          </w:tcPr>
          <w:p w14:paraId="5B0F0CFE" w14:textId="77777777" w:rsidR="00A60BD9" w:rsidRPr="00CF18C8" w:rsidRDefault="00A60BD9" w:rsidP="00C059E6">
            <w:pPr>
              <w:jc w:val="center"/>
              <w:rPr>
                <w:rStyle w:val="casenumber"/>
                <w:rFonts w:cstheme="minorHAnsi"/>
                <w:b/>
                <w:color w:val="333333"/>
                <w:sz w:val="20"/>
                <w:szCs w:val="23"/>
                <w:shd w:val="clear" w:color="auto" w:fill="FFFFFF"/>
              </w:rPr>
            </w:pPr>
            <w:r w:rsidRPr="00CF18C8">
              <w:rPr>
                <w:rStyle w:val="casenumber"/>
                <w:rFonts w:cstheme="minorHAnsi"/>
                <w:b/>
                <w:color w:val="333333"/>
                <w:sz w:val="20"/>
                <w:szCs w:val="23"/>
                <w:shd w:val="clear" w:color="auto" w:fill="FFFFFF"/>
              </w:rPr>
              <w:t>Type</w:t>
            </w:r>
          </w:p>
        </w:tc>
        <w:tc>
          <w:tcPr>
            <w:tcW w:w="1419" w:type="dxa"/>
          </w:tcPr>
          <w:p w14:paraId="6B72462F" w14:textId="77777777" w:rsidR="00A60BD9" w:rsidRPr="00CF18C8" w:rsidRDefault="00A60BD9" w:rsidP="00C059E6">
            <w:pPr>
              <w:jc w:val="center"/>
              <w:rPr>
                <w:rStyle w:val="casenumber"/>
                <w:rFonts w:cstheme="minorHAnsi"/>
                <w:b/>
                <w:color w:val="333333"/>
                <w:sz w:val="20"/>
                <w:szCs w:val="23"/>
                <w:shd w:val="clear" w:color="auto" w:fill="FFFFFF"/>
              </w:rPr>
            </w:pPr>
            <w:r w:rsidRPr="00CF18C8">
              <w:rPr>
                <w:rStyle w:val="casenumber"/>
                <w:rFonts w:cstheme="minorHAnsi"/>
                <w:b/>
                <w:color w:val="333333"/>
                <w:sz w:val="20"/>
                <w:szCs w:val="23"/>
                <w:shd w:val="clear" w:color="auto" w:fill="FFFFFF"/>
              </w:rPr>
              <w:t>Application reference</w:t>
            </w:r>
          </w:p>
        </w:tc>
        <w:tc>
          <w:tcPr>
            <w:tcW w:w="2125" w:type="dxa"/>
          </w:tcPr>
          <w:p w14:paraId="19FB7815" w14:textId="77777777" w:rsidR="00A60BD9" w:rsidRPr="00CF18C8" w:rsidRDefault="00A60BD9" w:rsidP="00C059E6">
            <w:pPr>
              <w:jc w:val="center"/>
              <w:rPr>
                <w:rStyle w:val="casenumber"/>
                <w:rFonts w:cstheme="minorHAnsi"/>
                <w:b/>
                <w:color w:val="333333"/>
                <w:sz w:val="20"/>
                <w:szCs w:val="23"/>
                <w:shd w:val="clear" w:color="auto" w:fill="FFFFFF"/>
              </w:rPr>
            </w:pPr>
            <w:r w:rsidRPr="00CF18C8">
              <w:rPr>
                <w:rStyle w:val="casenumber"/>
                <w:rFonts w:cstheme="minorHAnsi"/>
                <w:b/>
                <w:color w:val="333333"/>
                <w:sz w:val="20"/>
                <w:szCs w:val="23"/>
                <w:shd w:val="clear" w:color="auto" w:fill="FFFFFF"/>
              </w:rPr>
              <w:t>Location</w:t>
            </w:r>
          </w:p>
        </w:tc>
        <w:tc>
          <w:tcPr>
            <w:tcW w:w="2977" w:type="dxa"/>
          </w:tcPr>
          <w:p w14:paraId="5F3A6C9B" w14:textId="0CBB8AAC" w:rsidR="00A60BD9" w:rsidRPr="00CF18C8" w:rsidRDefault="00A60BD9" w:rsidP="00F6562C">
            <w:pPr>
              <w:jc w:val="center"/>
              <w:rPr>
                <w:rStyle w:val="casenumber"/>
                <w:rFonts w:cstheme="minorHAnsi"/>
                <w:b/>
                <w:color w:val="333333"/>
                <w:sz w:val="20"/>
                <w:szCs w:val="23"/>
                <w:shd w:val="clear" w:color="auto" w:fill="FFFFFF"/>
              </w:rPr>
            </w:pPr>
            <w:r w:rsidRPr="00CF18C8">
              <w:rPr>
                <w:rStyle w:val="casenumber"/>
                <w:rFonts w:cstheme="minorHAnsi"/>
                <w:b/>
                <w:color w:val="333333"/>
                <w:sz w:val="20"/>
                <w:szCs w:val="23"/>
                <w:shd w:val="clear" w:color="auto" w:fill="FFFFFF"/>
              </w:rPr>
              <w:t xml:space="preserve">Development </w:t>
            </w:r>
            <w:r w:rsidR="00F6562C">
              <w:rPr>
                <w:rStyle w:val="casenumber"/>
                <w:rFonts w:cstheme="minorHAnsi"/>
                <w:b/>
                <w:color w:val="333333"/>
                <w:sz w:val="20"/>
                <w:szCs w:val="23"/>
                <w:shd w:val="clear" w:color="auto" w:fill="FFFFFF"/>
              </w:rPr>
              <w:t>s</w:t>
            </w:r>
            <w:r w:rsidRPr="00CF18C8">
              <w:rPr>
                <w:rStyle w:val="casenumber"/>
                <w:rFonts w:cstheme="minorHAnsi"/>
                <w:b/>
                <w:color w:val="333333"/>
                <w:sz w:val="20"/>
                <w:szCs w:val="23"/>
                <w:shd w:val="clear" w:color="auto" w:fill="FFFFFF"/>
              </w:rPr>
              <w:t>ummary</w:t>
            </w:r>
          </w:p>
        </w:tc>
      </w:tr>
      <w:tr w:rsidR="00A60BD9" w:rsidRPr="00CD78AC" w14:paraId="6297FA9D" w14:textId="77777777" w:rsidTr="00F6562C">
        <w:trPr>
          <w:tblHeader/>
          <w:jc w:val="center"/>
        </w:trPr>
        <w:tc>
          <w:tcPr>
            <w:tcW w:w="1418" w:type="dxa"/>
          </w:tcPr>
          <w:p w14:paraId="51DC78A2"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Community Centre</w:t>
            </w:r>
          </w:p>
        </w:tc>
        <w:tc>
          <w:tcPr>
            <w:tcW w:w="1419" w:type="dxa"/>
          </w:tcPr>
          <w:p w14:paraId="120CBCF7"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20/00319/FUL</w:t>
            </w:r>
          </w:p>
        </w:tc>
        <w:tc>
          <w:tcPr>
            <w:tcW w:w="2125" w:type="dxa"/>
          </w:tcPr>
          <w:p w14:paraId="0DBA089B" w14:textId="77777777" w:rsidR="00A60BD9" w:rsidRPr="00F6562C" w:rsidRDefault="00A60BD9" w:rsidP="00C059E6">
            <w:pPr>
              <w:jc w:val="center"/>
              <w:rPr>
                <w:rStyle w:val="casenumber"/>
                <w:rFonts w:cstheme="minorHAnsi"/>
                <w:sz w:val="20"/>
                <w:szCs w:val="20"/>
                <w:shd w:val="clear" w:color="auto" w:fill="FFFFFF"/>
              </w:rPr>
            </w:pPr>
            <w:r w:rsidRPr="00F6562C">
              <w:rPr>
                <w:rStyle w:val="address"/>
                <w:rFonts w:cstheme="minorHAnsi"/>
                <w:sz w:val="20"/>
                <w:szCs w:val="20"/>
                <w:shd w:val="clear" w:color="auto" w:fill="FFFFFF"/>
              </w:rPr>
              <w:t>1-5 Buckingham Street Oxford Oxfordshire</w:t>
            </w:r>
          </w:p>
        </w:tc>
        <w:tc>
          <w:tcPr>
            <w:tcW w:w="2977" w:type="dxa"/>
          </w:tcPr>
          <w:p w14:paraId="34E8D09E" w14:textId="56D73917" w:rsidR="00A60BD9" w:rsidRPr="00F6562C" w:rsidRDefault="00A60BD9" w:rsidP="00C059E6">
            <w:pPr>
              <w:jc w:val="center"/>
              <w:rPr>
                <w:rStyle w:val="casenumber"/>
                <w:rFonts w:cstheme="minorHAnsi"/>
                <w:sz w:val="20"/>
                <w:szCs w:val="20"/>
                <w:shd w:val="clear" w:color="auto" w:fill="FFFFFF"/>
              </w:rPr>
            </w:pPr>
            <w:r w:rsidRPr="00F6562C">
              <w:rPr>
                <w:rStyle w:val="description"/>
                <w:rFonts w:cstheme="minorHAnsi"/>
                <w:sz w:val="20"/>
                <w:szCs w:val="20"/>
                <w:shd w:val="clear" w:color="auto" w:fill="FFFFFF"/>
              </w:rPr>
              <w:t>Change of use of former Conservative Club (sui generis) on the ground floor and Offices on the first floor (use class B1a) to a mixed use Community Hall (Use Class D1) and Offices (Use Class B1a). Alteration to front door and erection of canopy (amended description).</w:t>
            </w:r>
          </w:p>
        </w:tc>
      </w:tr>
      <w:tr w:rsidR="00A60BD9" w:rsidRPr="00CD78AC" w14:paraId="035EEF1D" w14:textId="77777777" w:rsidTr="00F6562C">
        <w:trPr>
          <w:tblHeader/>
          <w:jc w:val="center"/>
        </w:trPr>
        <w:tc>
          <w:tcPr>
            <w:tcW w:w="1418" w:type="dxa"/>
          </w:tcPr>
          <w:p w14:paraId="7B76423B"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Primary Healthcare</w:t>
            </w:r>
          </w:p>
        </w:tc>
        <w:tc>
          <w:tcPr>
            <w:tcW w:w="1419" w:type="dxa"/>
          </w:tcPr>
          <w:p w14:paraId="02D7D28A"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20/00502/FUL</w:t>
            </w:r>
          </w:p>
        </w:tc>
        <w:tc>
          <w:tcPr>
            <w:tcW w:w="2125" w:type="dxa"/>
          </w:tcPr>
          <w:p w14:paraId="2CB4AA69" w14:textId="77777777" w:rsidR="00A60BD9" w:rsidRPr="00F6562C" w:rsidRDefault="00A60BD9" w:rsidP="00C059E6">
            <w:pPr>
              <w:jc w:val="center"/>
              <w:rPr>
                <w:rStyle w:val="address"/>
                <w:rFonts w:cstheme="minorHAnsi"/>
                <w:sz w:val="20"/>
                <w:szCs w:val="20"/>
                <w:shd w:val="clear" w:color="auto" w:fill="FFFFFF"/>
              </w:rPr>
            </w:pPr>
            <w:r w:rsidRPr="00F6562C">
              <w:rPr>
                <w:rStyle w:val="address"/>
                <w:rFonts w:cstheme="minorHAnsi"/>
                <w:sz w:val="20"/>
                <w:szCs w:val="20"/>
                <w:shd w:val="clear" w:color="auto" w:fill="FFFFFF"/>
              </w:rPr>
              <w:t>122 The Westgate Queen Street Oxford Oxfordshire OX1 1PB</w:t>
            </w:r>
          </w:p>
        </w:tc>
        <w:tc>
          <w:tcPr>
            <w:tcW w:w="2977" w:type="dxa"/>
          </w:tcPr>
          <w:p w14:paraId="29FA536B" w14:textId="5671B263" w:rsidR="00A60BD9" w:rsidRPr="00F6562C" w:rsidRDefault="00A60BD9" w:rsidP="00C059E6">
            <w:pPr>
              <w:jc w:val="center"/>
              <w:rPr>
                <w:rStyle w:val="description"/>
                <w:sz w:val="20"/>
                <w:szCs w:val="20"/>
                <w:shd w:val="clear" w:color="auto" w:fill="FFFFFF"/>
              </w:rPr>
            </w:pPr>
            <w:r w:rsidRPr="00F6562C">
              <w:rPr>
                <w:rStyle w:val="description"/>
                <w:sz w:val="20"/>
                <w:szCs w:val="20"/>
                <w:shd w:val="clear" w:color="auto" w:fill="FFFFFF"/>
              </w:rPr>
              <w:t>Change of use from shop (Use Class A1) to mixed use shop (Use Class A1) and health centre (Use class D1)</w:t>
            </w:r>
          </w:p>
        </w:tc>
      </w:tr>
      <w:tr w:rsidR="00A60BD9" w:rsidRPr="00CD78AC" w14:paraId="0DEBA67F" w14:textId="77777777" w:rsidTr="00F6562C">
        <w:trPr>
          <w:tblHeader/>
          <w:jc w:val="center"/>
        </w:trPr>
        <w:tc>
          <w:tcPr>
            <w:tcW w:w="1418" w:type="dxa"/>
          </w:tcPr>
          <w:p w14:paraId="6C07EAB3"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Community Centre</w:t>
            </w:r>
          </w:p>
        </w:tc>
        <w:tc>
          <w:tcPr>
            <w:tcW w:w="1419" w:type="dxa"/>
          </w:tcPr>
          <w:p w14:paraId="06C3B397"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20/01379/FUL</w:t>
            </w:r>
          </w:p>
        </w:tc>
        <w:tc>
          <w:tcPr>
            <w:tcW w:w="2125" w:type="dxa"/>
          </w:tcPr>
          <w:p w14:paraId="1CCD6453" w14:textId="77777777" w:rsidR="00A60BD9" w:rsidRPr="00F6562C" w:rsidRDefault="00A60BD9" w:rsidP="00C059E6">
            <w:pPr>
              <w:jc w:val="center"/>
              <w:rPr>
                <w:rStyle w:val="casenumber"/>
                <w:rFonts w:cstheme="minorHAnsi"/>
                <w:sz w:val="20"/>
                <w:szCs w:val="20"/>
                <w:shd w:val="clear" w:color="auto" w:fill="FFFFFF"/>
              </w:rPr>
            </w:pPr>
            <w:r w:rsidRPr="00F6562C">
              <w:rPr>
                <w:rStyle w:val="address"/>
                <w:rFonts w:cstheme="minorHAnsi"/>
                <w:sz w:val="20"/>
                <w:szCs w:val="20"/>
                <w:shd w:val="clear" w:color="auto" w:fill="FFFFFF"/>
              </w:rPr>
              <w:t xml:space="preserve">Florence Park Children’s Centre Florence Park </w:t>
            </w:r>
            <w:proofErr w:type="spellStart"/>
            <w:r w:rsidRPr="00F6562C">
              <w:rPr>
                <w:rStyle w:val="address"/>
                <w:rFonts w:cstheme="minorHAnsi"/>
                <w:sz w:val="20"/>
                <w:szCs w:val="20"/>
                <w:shd w:val="clear" w:color="auto" w:fill="FFFFFF"/>
              </w:rPr>
              <w:t>Rymers</w:t>
            </w:r>
            <w:proofErr w:type="spellEnd"/>
            <w:r w:rsidRPr="00F6562C">
              <w:rPr>
                <w:rStyle w:val="address"/>
                <w:rFonts w:cstheme="minorHAnsi"/>
                <w:sz w:val="20"/>
                <w:szCs w:val="20"/>
                <w:shd w:val="clear" w:color="auto" w:fill="FFFFFF"/>
              </w:rPr>
              <w:t xml:space="preserve"> Lane Oxford Oxfordshire OX4 3JZ</w:t>
            </w:r>
          </w:p>
        </w:tc>
        <w:tc>
          <w:tcPr>
            <w:tcW w:w="2977" w:type="dxa"/>
          </w:tcPr>
          <w:p w14:paraId="0E8E8E09" w14:textId="19B60B2A" w:rsidR="00A60BD9" w:rsidRPr="00F6562C" w:rsidRDefault="00A60BD9" w:rsidP="00C059E6">
            <w:pPr>
              <w:jc w:val="center"/>
              <w:rPr>
                <w:rStyle w:val="casenumber"/>
                <w:rFonts w:cstheme="minorHAnsi"/>
                <w:sz w:val="20"/>
                <w:szCs w:val="20"/>
                <w:shd w:val="clear" w:color="auto" w:fill="FFFFFF"/>
              </w:rPr>
            </w:pPr>
            <w:r w:rsidRPr="00F6562C">
              <w:rPr>
                <w:rStyle w:val="description"/>
                <w:rFonts w:cstheme="minorHAnsi"/>
                <w:sz w:val="20"/>
                <w:szCs w:val="20"/>
                <w:shd w:val="clear" w:color="auto" w:fill="FFFFFF"/>
              </w:rPr>
              <w:t>Application for permanent use of the Cafe (Use Class A3) and shared community space (Use Class D1).</w:t>
            </w:r>
          </w:p>
        </w:tc>
      </w:tr>
      <w:tr w:rsidR="00A60BD9" w:rsidRPr="00CD78AC" w14:paraId="0CD6B4F8" w14:textId="77777777" w:rsidTr="00F6562C">
        <w:trPr>
          <w:tblHeader/>
          <w:jc w:val="center"/>
        </w:trPr>
        <w:tc>
          <w:tcPr>
            <w:tcW w:w="1418" w:type="dxa"/>
          </w:tcPr>
          <w:p w14:paraId="245F0498"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Primary Healthcare</w:t>
            </w:r>
          </w:p>
        </w:tc>
        <w:tc>
          <w:tcPr>
            <w:tcW w:w="1419" w:type="dxa"/>
          </w:tcPr>
          <w:p w14:paraId="6C40065F" w14:textId="77D6FBA2"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20/01468/FUL</w:t>
            </w:r>
          </w:p>
        </w:tc>
        <w:tc>
          <w:tcPr>
            <w:tcW w:w="2125" w:type="dxa"/>
          </w:tcPr>
          <w:p w14:paraId="6F414B77" w14:textId="77777777" w:rsidR="00A60BD9" w:rsidRPr="00F6562C" w:rsidRDefault="00A60BD9" w:rsidP="00C059E6">
            <w:pPr>
              <w:jc w:val="center"/>
              <w:rPr>
                <w:rStyle w:val="address"/>
                <w:rFonts w:cstheme="minorHAnsi"/>
                <w:sz w:val="20"/>
                <w:szCs w:val="20"/>
                <w:shd w:val="clear" w:color="auto" w:fill="FFFFFF"/>
              </w:rPr>
            </w:pPr>
            <w:r w:rsidRPr="00F6562C">
              <w:rPr>
                <w:rStyle w:val="address"/>
                <w:rFonts w:cstheme="minorHAnsi"/>
                <w:sz w:val="20"/>
                <w:szCs w:val="20"/>
                <w:shd w:val="clear" w:color="auto" w:fill="FFFFFF"/>
              </w:rPr>
              <w:t>13-21 Cornmarket Street Oxford OX1 3HE</w:t>
            </w:r>
          </w:p>
        </w:tc>
        <w:tc>
          <w:tcPr>
            <w:tcW w:w="2977" w:type="dxa"/>
          </w:tcPr>
          <w:p w14:paraId="36F9163B" w14:textId="77777777" w:rsidR="00A60BD9" w:rsidRPr="00F6562C" w:rsidRDefault="00A60BD9" w:rsidP="00C059E6">
            <w:pPr>
              <w:jc w:val="center"/>
              <w:rPr>
                <w:rStyle w:val="description"/>
                <w:rFonts w:cstheme="minorHAnsi"/>
                <w:sz w:val="20"/>
                <w:szCs w:val="20"/>
                <w:shd w:val="clear" w:color="auto" w:fill="FFFFFF"/>
              </w:rPr>
            </w:pPr>
            <w:r w:rsidRPr="00F6562C">
              <w:rPr>
                <w:rStyle w:val="description"/>
                <w:rFonts w:cstheme="minorHAnsi"/>
                <w:sz w:val="20"/>
                <w:szCs w:val="20"/>
                <w:shd w:val="clear" w:color="auto" w:fill="FFFFFF"/>
              </w:rPr>
              <w:t>Change of use of basement, part ground and part first floor from retail (Use Class A1) to a GP Surgery (Use Class D1).</w:t>
            </w:r>
          </w:p>
        </w:tc>
      </w:tr>
      <w:tr w:rsidR="00A60BD9" w:rsidRPr="00CD78AC" w14:paraId="4EC37DB3" w14:textId="77777777" w:rsidTr="00F6562C">
        <w:trPr>
          <w:jc w:val="center"/>
        </w:trPr>
        <w:tc>
          <w:tcPr>
            <w:tcW w:w="1418" w:type="dxa"/>
          </w:tcPr>
          <w:p w14:paraId="23E95846"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Community Centre</w:t>
            </w:r>
          </w:p>
        </w:tc>
        <w:tc>
          <w:tcPr>
            <w:tcW w:w="1419" w:type="dxa"/>
          </w:tcPr>
          <w:p w14:paraId="49EC4886"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20/01898/FUL</w:t>
            </w:r>
          </w:p>
        </w:tc>
        <w:tc>
          <w:tcPr>
            <w:tcW w:w="2125" w:type="dxa"/>
          </w:tcPr>
          <w:p w14:paraId="08A72762" w14:textId="77777777" w:rsidR="00A60BD9" w:rsidRPr="00F6562C" w:rsidRDefault="00A60BD9" w:rsidP="00C059E6">
            <w:pPr>
              <w:jc w:val="center"/>
              <w:rPr>
                <w:rStyle w:val="casenumber"/>
                <w:rFonts w:cstheme="minorHAnsi"/>
                <w:sz w:val="20"/>
                <w:szCs w:val="20"/>
                <w:shd w:val="clear" w:color="auto" w:fill="FFFFFF"/>
              </w:rPr>
            </w:pPr>
            <w:r w:rsidRPr="00F6562C">
              <w:rPr>
                <w:rStyle w:val="address"/>
                <w:rFonts w:cstheme="minorHAnsi"/>
                <w:sz w:val="20"/>
                <w:szCs w:val="20"/>
                <w:shd w:val="clear" w:color="auto" w:fill="FFFFFF"/>
              </w:rPr>
              <w:t>The Irving Building Hertford Street Oxford Oxfordshire OX4 3AJ</w:t>
            </w:r>
          </w:p>
        </w:tc>
        <w:tc>
          <w:tcPr>
            <w:tcW w:w="2977" w:type="dxa"/>
          </w:tcPr>
          <w:p w14:paraId="0F9E80E5" w14:textId="77777777" w:rsidR="00A60BD9" w:rsidRPr="00F6562C" w:rsidRDefault="00A60BD9" w:rsidP="00C059E6">
            <w:pPr>
              <w:jc w:val="center"/>
              <w:rPr>
                <w:rStyle w:val="casenumber"/>
                <w:rFonts w:cstheme="minorHAnsi"/>
                <w:sz w:val="20"/>
                <w:szCs w:val="20"/>
                <w:shd w:val="clear" w:color="auto" w:fill="FFFFFF"/>
              </w:rPr>
            </w:pPr>
            <w:r w:rsidRPr="00F6562C">
              <w:rPr>
                <w:rStyle w:val="description"/>
                <w:rFonts w:cstheme="minorHAnsi"/>
                <w:sz w:val="20"/>
                <w:szCs w:val="20"/>
                <w:shd w:val="clear" w:color="auto" w:fill="FFFFFF"/>
              </w:rPr>
              <w:t xml:space="preserve">Change of use to a mixed business (Use Class B1) and non-residential institutions (Use Class D1). Erection of a single storey side and rear extension to create a community building (Use Class D1). Erection of to 9no. </w:t>
            </w:r>
            <w:proofErr w:type="gramStart"/>
            <w:r w:rsidRPr="00F6562C">
              <w:rPr>
                <w:rStyle w:val="description"/>
                <w:rFonts w:cstheme="minorHAnsi"/>
                <w:sz w:val="20"/>
                <w:szCs w:val="20"/>
                <w:shd w:val="clear" w:color="auto" w:fill="FFFFFF"/>
              </w:rPr>
              <w:t>buildings</w:t>
            </w:r>
            <w:proofErr w:type="gramEnd"/>
            <w:r w:rsidRPr="00F6562C">
              <w:rPr>
                <w:rStyle w:val="description"/>
                <w:rFonts w:cstheme="minorHAnsi"/>
                <w:sz w:val="20"/>
                <w:szCs w:val="20"/>
                <w:shd w:val="clear" w:color="auto" w:fill="FFFFFF"/>
              </w:rPr>
              <w:t xml:space="preserve"> to create 3 x 3 bed 6 x 2 bed apartments (Use Class C3).</w:t>
            </w:r>
          </w:p>
        </w:tc>
      </w:tr>
      <w:tr w:rsidR="00A60BD9" w:rsidRPr="00CD78AC" w14:paraId="27DF0D04" w14:textId="77777777" w:rsidTr="00F6562C">
        <w:trPr>
          <w:jc w:val="center"/>
        </w:trPr>
        <w:tc>
          <w:tcPr>
            <w:tcW w:w="1418" w:type="dxa"/>
          </w:tcPr>
          <w:p w14:paraId="3CBA11D2"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Primary Healthcare</w:t>
            </w:r>
          </w:p>
        </w:tc>
        <w:tc>
          <w:tcPr>
            <w:tcW w:w="1419" w:type="dxa"/>
          </w:tcPr>
          <w:p w14:paraId="494A7E4E" w14:textId="77777777" w:rsidR="00A60BD9" w:rsidRPr="00F6562C" w:rsidRDefault="00A60BD9" w:rsidP="00C059E6">
            <w:pPr>
              <w:jc w:val="center"/>
              <w:rPr>
                <w:rStyle w:val="description"/>
                <w:sz w:val="20"/>
                <w:szCs w:val="20"/>
              </w:rPr>
            </w:pPr>
            <w:r w:rsidRPr="00F6562C">
              <w:rPr>
                <w:rStyle w:val="description"/>
                <w:rFonts w:cstheme="minorHAnsi"/>
                <w:sz w:val="20"/>
                <w:szCs w:val="20"/>
              </w:rPr>
              <w:t>20/02399/FUL</w:t>
            </w:r>
          </w:p>
        </w:tc>
        <w:tc>
          <w:tcPr>
            <w:tcW w:w="2125" w:type="dxa"/>
          </w:tcPr>
          <w:p w14:paraId="49DC4815" w14:textId="77777777" w:rsidR="00A60BD9" w:rsidRPr="00F6562C" w:rsidRDefault="00A60BD9" w:rsidP="00C059E6">
            <w:pPr>
              <w:jc w:val="center"/>
              <w:rPr>
                <w:rStyle w:val="description"/>
                <w:sz w:val="20"/>
                <w:szCs w:val="20"/>
              </w:rPr>
            </w:pPr>
            <w:r w:rsidRPr="00F6562C">
              <w:rPr>
                <w:rStyle w:val="description"/>
                <w:rFonts w:cstheme="minorHAnsi"/>
                <w:sz w:val="20"/>
                <w:szCs w:val="20"/>
              </w:rPr>
              <w:t>116 Abingdon Road Oxford OX1 4PZ</w:t>
            </w:r>
          </w:p>
        </w:tc>
        <w:tc>
          <w:tcPr>
            <w:tcW w:w="2977" w:type="dxa"/>
          </w:tcPr>
          <w:p w14:paraId="22C62DFD" w14:textId="1D26F08C" w:rsidR="00A60BD9" w:rsidRPr="00F6562C" w:rsidRDefault="40596006" w:rsidP="00C059E6">
            <w:pPr>
              <w:jc w:val="center"/>
              <w:rPr>
                <w:rStyle w:val="description"/>
                <w:sz w:val="20"/>
                <w:szCs w:val="20"/>
                <w:shd w:val="clear" w:color="auto" w:fill="FFFFFF"/>
              </w:rPr>
            </w:pPr>
            <w:r w:rsidRPr="00F6562C">
              <w:rPr>
                <w:rStyle w:val="description"/>
                <w:sz w:val="20"/>
                <w:szCs w:val="20"/>
                <w:shd w:val="clear" w:color="auto" w:fill="FFFFFF"/>
              </w:rPr>
              <w:t xml:space="preserve">Partial change of use to ground floor from </w:t>
            </w:r>
            <w:r w:rsidR="0552FD00" w:rsidRPr="00F6562C">
              <w:rPr>
                <w:rStyle w:val="description"/>
                <w:sz w:val="20"/>
                <w:szCs w:val="20"/>
                <w:shd w:val="clear" w:color="auto" w:fill="FFFFFF"/>
              </w:rPr>
              <w:t>dwelling house</w:t>
            </w:r>
            <w:r w:rsidRPr="00F6562C">
              <w:rPr>
                <w:rStyle w:val="description"/>
                <w:sz w:val="20"/>
                <w:szCs w:val="20"/>
                <w:shd w:val="clear" w:color="auto" w:fill="FFFFFF"/>
              </w:rPr>
              <w:t xml:space="preserve"> (Use Class C3) to an Osteopathy Health Clinic (Sui Generis).</w:t>
            </w:r>
          </w:p>
        </w:tc>
      </w:tr>
      <w:tr w:rsidR="00A60BD9" w:rsidRPr="00CD78AC" w14:paraId="06A3B068" w14:textId="77777777" w:rsidTr="00F6562C">
        <w:trPr>
          <w:jc w:val="center"/>
        </w:trPr>
        <w:tc>
          <w:tcPr>
            <w:tcW w:w="1418" w:type="dxa"/>
          </w:tcPr>
          <w:p w14:paraId="33031E95"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Primary Healthcare</w:t>
            </w:r>
          </w:p>
        </w:tc>
        <w:tc>
          <w:tcPr>
            <w:tcW w:w="1419" w:type="dxa"/>
          </w:tcPr>
          <w:p w14:paraId="19B90296"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20/02677/FUL</w:t>
            </w:r>
          </w:p>
        </w:tc>
        <w:tc>
          <w:tcPr>
            <w:tcW w:w="2125" w:type="dxa"/>
          </w:tcPr>
          <w:p w14:paraId="69A500C4" w14:textId="77777777" w:rsidR="00A60BD9" w:rsidRPr="00F6562C" w:rsidRDefault="00A60BD9" w:rsidP="00C059E6">
            <w:pPr>
              <w:jc w:val="center"/>
              <w:rPr>
                <w:rStyle w:val="address"/>
                <w:rFonts w:cstheme="minorHAnsi"/>
                <w:sz w:val="20"/>
                <w:szCs w:val="20"/>
                <w:shd w:val="clear" w:color="auto" w:fill="FFFFFF"/>
              </w:rPr>
            </w:pPr>
            <w:r w:rsidRPr="00F6562C">
              <w:rPr>
                <w:rStyle w:val="address"/>
                <w:rFonts w:cstheme="minorHAnsi"/>
                <w:sz w:val="20"/>
                <w:szCs w:val="20"/>
                <w:shd w:val="clear" w:color="auto" w:fill="FFFFFF"/>
              </w:rPr>
              <w:t xml:space="preserve">47 </w:t>
            </w:r>
            <w:proofErr w:type="spellStart"/>
            <w:r w:rsidRPr="00F6562C">
              <w:rPr>
                <w:rStyle w:val="address"/>
                <w:rFonts w:cstheme="minorHAnsi"/>
                <w:sz w:val="20"/>
                <w:szCs w:val="20"/>
                <w:shd w:val="clear" w:color="auto" w:fill="FFFFFF"/>
              </w:rPr>
              <w:t>Gaisford</w:t>
            </w:r>
            <w:proofErr w:type="spellEnd"/>
            <w:r w:rsidRPr="00F6562C">
              <w:rPr>
                <w:rStyle w:val="address"/>
                <w:rFonts w:cstheme="minorHAnsi"/>
                <w:sz w:val="20"/>
                <w:szCs w:val="20"/>
                <w:shd w:val="clear" w:color="auto" w:fill="FFFFFF"/>
              </w:rPr>
              <w:t xml:space="preserve"> Road Oxford OX4 3LH</w:t>
            </w:r>
          </w:p>
        </w:tc>
        <w:tc>
          <w:tcPr>
            <w:tcW w:w="2977" w:type="dxa"/>
          </w:tcPr>
          <w:p w14:paraId="7A1B5BF5" w14:textId="77777777" w:rsidR="00A60BD9" w:rsidRPr="00F6562C" w:rsidRDefault="00A60BD9" w:rsidP="00C059E6">
            <w:pPr>
              <w:jc w:val="center"/>
              <w:rPr>
                <w:rStyle w:val="description"/>
                <w:rFonts w:cstheme="minorHAnsi"/>
                <w:sz w:val="20"/>
                <w:szCs w:val="20"/>
                <w:shd w:val="clear" w:color="auto" w:fill="FFFFFF"/>
              </w:rPr>
            </w:pPr>
            <w:r w:rsidRPr="00F6562C">
              <w:rPr>
                <w:rStyle w:val="description"/>
                <w:rFonts w:cstheme="minorHAnsi"/>
                <w:sz w:val="20"/>
                <w:szCs w:val="20"/>
                <w:shd w:val="clear" w:color="auto" w:fill="FFFFFF"/>
              </w:rPr>
              <w:t>Change of use of a House in Multiple Occupation (Use Class C4) to a mother and baby unit (Use Class C2).</w:t>
            </w:r>
          </w:p>
        </w:tc>
      </w:tr>
      <w:tr w:rsidR="00A60BD9" w:rsidRPr="00CD78AC" w14:paraId="2951524C" w14:textId="77777777" w:rsidTr="00F6562C">
        <w:trPr>
          <w:jc w:val="center"/>
        </w:trPr>
        <w:tc>
          <w:tcPr>
            <w:tcW w:w="1418" w:type="dxa"/>
          </w:tcPr>
          <w:p w14:paraId="50B3368F" w14:textId="77777777" w:rsidR="00A60BD9" w:rsidRPr="00F6562C" w:rsidRDefault="00A60BD9" w:rsidP="00C059E6">
            <w:pPr>
              <w:jc w:val="center"/>
              <w:rPr>
                <w:rStyle w:val="casenumber"/>
                <w:rFonts w:cstheme="minorHAnsi"/>
                <w:sz w:val="20"/>
                <w:szCs w:val="20"/>
                <w:shd w:val="clear" w:color="auto" w:fill="FFFFFF"/>
              </w:rPr>
            </w:pPr>
            <w:r w:rsidRPr="00F6562C">
              <w:rPr>
                <w:rStyle w:val="casenumber"/>
                <w:rFonts w:cstheme="minorHAnsi"/>
                <w:sz w:val="20"/>
                <w:szCs w:val="20"/>
                <w:shd w:val="clear" w:color="auto" w:fill="FFFFFF"/>
              </w:rPr>
              <w:t>Community Centre</w:t>
            </w:r>
          </w:p>
        </w:tc>
        <w:tc>
          <w:tcPr>
            <w:tcW w:w="1419" w:type="dxa"/>
          </w:tcPr>
          <w:p w14:paraId="0640EF4F" w14:textId="77777777" w:rsidR="00A60BD9" w:rsidRPr="00F6562C" w:rsidRDefault="00A60BD9" w:rsidP="00C059E6">
            <w:pPr>
              <w:jc w:val="center"/>
              <w:rPr>
                <w:rStyle w:val="description"/>
                <w:sz w:val="20"/>
                <w:szCs w:val="20"/>
              </w:rPr>
            </w:pPr>
            <w:r w:rsidRPr="00F6562C">
              <w:rPr>
                <w:rStyle w:val="description"/>
                <w:rFonts w:cstheme="minorHAnsi"/>
                <w:sz w:val="20"/>
                <w:szCs w:val="20"/>
              </w:rPr>
              <w:t>20/03089/CPU</w:t>
            </w:r>
          </w:p>
        </w:tc>
        <w:tc>
          <w:tcPr>
            <w:tcW w:w="2125" w:type="dxa"/>
          </w:tcPr>
          <w:p w14:paraId="042957A2" w14:textId="77777777" w:rsidR="00A60BD9" w:rsidRPr="00F6562C" w:rsidRDefault="00A60BD9" w:rsidP="00C059E6">
            <w:pPr>
              <w:jc w:val="center"/>
              <w:rPr>
                <w:rStyle w:val="description"/>
                <w:sz w:val="20"/>
                <w:szCs w:val="20"/>
              </w:rPr>
            </w:pPr>
            <w:r w:rsidRPr="00F6562C">
              <w:rPr>
                <w:rStyle w:val="description"/>
                <w:rFonts w:cstheme="minorHAnsi"/>
                <w:sz w:val="20"/>
                <w:szCs w:val="20"/>
              </w:rPr>
              <w:t xml:space="preserve">St Andrews Bookshop 57C St </w:t>
            </w:r>
            <w:proofErr w:type="spellStart"/>
            <w:r w:rsidRPr="00F6562C">
              <w:rPr>
                <w:rStyle w:val="description"/>
                <w:rFonts w:cstheme="minorHAnsi"/>
                <w:sz w:val="20"/>
                <w:szCs w:val="20"/>
              </w:rPr>
              <w:t>Clement's</w:t>
            </w:r>
            <w:proofErr w:type="spellEnd"/>
            <w:r w:rsidRPr="00F6562C">
              <w:rPr>
                <w:rStyle w:val="description"/>
                <w:rFonts w:cstheme="minorHAnsi"/>
                <w:sz w:val="20"/>
                <w:szCs w:val="20"/>
              </w:rPr>
              <w:t xml:space="preserve"> Street Oxford Oxfordshire OX4 1AG</w:t>
            </w:r>
          </w:p>
        </w:tc>
        <w:tc>
          <w:tcPr>
            <w:tcW w:w="2977" w:type="dxa"/>
          </w:tcPr>
          <w:p w14:paraId="4113A297" w14:textId="77777777" w:rsidR="00A60BD9" w:rsidRPr="00F6562C" w:rsidRDefault="00A60BD9" w:rsidP="00C059E6">
            <w:pPr>
              <w:jc w:val="center"/>
              <w:rPr>
                <w:rStyle w:val="description"/>
                <w:rFonts w:cstheme="minorHAnsi"/>
                <w:sz w:val="20"/>
                <w:szCs w:val="20"/>
                <w:shd w:val="clear" w:color="auto" w:fill="FFFFFF"/>
              </w:rPr>
            </w:pPr>
            <w:r w:rsidRPr="00F6562C">
              <w:rPr>
                <w:rStyle w:val="description"/>
                <w:rFonts w:cstheme="minorHAnsi"/>
                <w:sz w:val="20"/>
                <w:szCs w:val="20"/>
                <w:shd w:val="clear" w:color="auto" w:fill="FFFFFF"/>
              </w:rPr>
              <w:t xml:space="preserve">Application to certify that the change of use from retail </w:t>
            </w:r>
            <w:proofErr w:type="spellStart"/>
            <w:r w:rsidRPr="00F6562C">
              <w:rPr>
                <w:rStyle w:val="description"/>
                <w:rFonts w:cstheme="minorHAnsi"/>
                <w:sz w:val="20"/>
                <w:szCs w:val="20"/>
                <w:shd w:val="clear" w:color="auto" w:fill="FFFFFF"/>
              </w:rPr>
              <w:t>to day</w:t>
            </w:r>
            <w:proofErr w:type="spellEnd"/>
            <w:r w:rsidRPr="00F6562C">
              <w:rPr>
                <w:rStyle w:val="description"/>
                <w:rFonts w:cstheme="minorHAnsi"/>
                <w:sz w:val="20"/>
                <w:szCs w:val="20"/>
                <w:shd w:val="clear" w:color="auto" w:fill="FFFFFF"/>
              </w:rPr>
              <w:t>-centre (Use Class E) is lawful development.</w:t>
            </w:r>
          </w:p>
        </w:tc>
      </w:tr>
    </w:tbl>
    <w:p w14:paraId="2FCF067A" w14:textId="5FAC2512" w:rsidR="00F6562C" w:rsidRDefault="00A60BD9" w:rsidP="00C01EF4">
      <w:pPr>
        <w:spacing w:before="240"/>
        <w:jc w:val="center"/>
        <w:rPr>
          <w:rStyle w:val="casenumber"/>
          <w:color w:val="333333"/>
          <w:sz w:val="20"/>
          <w:szCs w:val="20"/>
          <w:shd w:val="clear" w:color="auto" w:fill="FFFFFF"/>
        </w:rPr>
      </w:pPr>
      <w:r w:rsidRPr="00C01EF4">
        <w:rPr>
          <w:rStyle w:val="casenumber"/>
          <w:b/>
          <w:color w:val="333333"/>
          <w:sz w:val="20"/>
          <w:szCs w:val="20"/>
          <w:shd w:val="clear" w:color="auto" w:fill="FFFFFF"/>
        </w:rPr>
        <w:t xml:space="preserve">Table </w:t>
      </w:r>
      <w:r w:rsidR="00C302A2" w:rsidRPr="00C01EF4">
        <w:rPr>
          <w:rStyle w:val="casenumber"/>
          <w:b/>
          <w:color w:val="333333"/>
          <w:sz w:val="20"/>
          <w:szCs w:val="20"/>
          <w:shd w:val="clear" w:color="auto" w:fill="FFFFFF"/>
        </w:rPr>
        <w:t>1</w:t>
      </w:r>
      <w:r w:rsidR="000109E8">
        <w:rPr>
          <w:rStyle w:val="casenumber"/>
          <w:b/>
          <w:color w:val="333333"/>
          <w:sz w:val="20"/>
          <w:szCs w:val="20"/>
          <w:shd w:val="clear" w:color="auto" w:fill="FFFFFF"/>
        </w:rPr>
        <w:t>8</w:t>
      </w:r>
      <w:r w:rsidRPr="00C01EF4">
        <w:rPr>
          <w:rStyle w:val="casenumber"/>
          <w:color w:val="333333"/>
          <w:sz w:val="20"/>
          <w:szCs w:val="20"/>
          <w:shd w:val="clear" w:color="auto" w:fill="FFFFFF"/>
        </w:rPr>
        <w:t>: Community Facilities permissions 2020/21</w:t>
      </w:r>
    </w:p>
    <w:p w14:paraId="119A188A" w14:textId="162DBFEA" w:rsidR="00A60BD9" w:rsidRDefault="00A60BD9" w:rsidP="00292CDF">
      <w:pPr>
        <w:rPr>
          <w:rStyle w:val="casenumber"/>
          <w:color w:val="333333"/>
          <w:sz w:val="20"/>
          <w:szCs w:val="20"/>
          <w:shd w:val="clear" w:color="auto" w:fill="FFFFFF"/>
        </w:rPr>
      </w:pPr>
    </w:p>
    <w:p w14:paraId="74283378" w14:textId="77777777" w:rsidR="00292CDF" w:rsidRDefault="00292CDF" w:rsidP="00292CDF">
      <w:pPr>
        <w:rPr>
          <w:rStyle w:val="casenumber"/>
          <w:color w:val="333333"/>
          <w:sz w:val="20"/>
          <w:szCs w:val="20"/>
          <w:shd w:val="clear" w:color="auto" w:fill="FFFFFF"/>
        </w:rPr>
      </w:pPr>
    </w:p>
    <w:p w14:paraId="34383A22" w14:textId="2E365E81" w:rsidR="00A60BD9" w:rsidRPr="002A0ECC" w:rsidRDefault="00A60BD9" w:rsidP="002A0ECC">
      <w:pPr>
        <w:pStyle w:val="Default"/>
        <w:rPr>
          <w:rFonts w:asciiTheme="minorHAnsi" w:hAnsiTheme="minorHAnsi" w:cstheme="minorHAnsi"/>
          <w:b/>
          <w:szCs w:val="20"/>
        </w:rPr>
      </w:pPr>
      <w:r w:rsidRPr="002A0ECC">
        <w:rPr>
          <w:rFonts w:asciiTheme="minorHAnsi" w:hAnsiTheme="minorHAnsi" w:cstheme="minorHAnsi"/>
          <w:b/>
          <w:szCs w:val="20"/>
        </w:rPr>
        <w:lastRenderedPageBreak/>
        <w:t>Temporary Changes of Uses</w:t>
      </w:r>
    </w:p>
    <w:p w14:paraId="76622FB0" w14:textId="4AD08B12" w:rsidR="00530AD2" w:rsidRPr="00D31B85" w:rsidRDefault="40596006" w:rsidP="0012069F">
      <w:pPr>
        <w:keepNext/>
        <w:numPr>
          <w:ilvl w:val="1"/>
          <w:numId w:val="11"/>
        </w:numPr>
        <w:spacing w:before="240" w:after="200" w:line="276" w:lineRule="auto"/>
        <w:ind w:left="567" w:hanging="567"/>
        <w:jc w:val="both"/>
      </w:pPr>
      <w:r>
        <w:t xml:space="preserve">Permission was granted for a temporary change of use of portions of 20-21 Park End Street from restaurant and residential dwelling to local community amenities and a number of co-working and private offices (20/01002/FUL).  </w:t>
      </w:r>
      <w:r w:rsidR="2DB36E3D">
        <w:t xml:space="preserve">The proposal entails the loss of a single </w:t>
      </w:r>
      <w:r w:rsidR="74ADCB63">
        <w:t>self-contained</w:t>
      </w:r>
      <w:r w:rsidR="2DB36E3D">
        <w:t xml:space="preserve"> dwelling while the front of the shop unit would remain in A3 use</w:t>
      </w:r>
      <w:r w:rsidR="06D6DCFD">
        <w:t xml:space="preserve">.  </w:t>
      </w:r>
      <w:r w:rsidR="570BD787">
        <w:t xml:space="preserve">The proposed development is described in submission documents and officer reports as an intended ‘meanwhile’ use, and </w:t>
      </w:r>
      <w:r w:rsidR="042EE07A">
        <w:t xml:space="preserve">accordingly </w:t>
      </w:r>
      <w:r>
        <w:t xml:space="preserve">permission was granted for this use until 31 December </w:t>
      </w:r>
      <w:r w:rsidR="38D640E2">
        <w:t>2022</w:t>
      </w:r>
      <w:r w:rsidR="3F4E030A">
        <w:t xml:space="preserve">, after which the </w:t>
      </w:r>
      <w:r w:rsidR="34DCCB84">
        <w:t xml:space="preserve">affected portions will revert to the previous </w:t>
      </w:r>
      <w:r w:rsidR="3F4E030A">
        <w:t xml:space="preserve">lawful use </w:t>
      </w:r>
      <w:r w:rsidR="691FE7D4">
        <w:t xml:space="preserve">as a </w:t>
      </w:r>
      <w:r w:rsidR="3F4E030A">
        <w:t xml:space="preserve">residential </w:t>
      </w:r>
      <w:r w:rsidR="3C72BFE8">
        <w:t>dwelling.</w:t>
      </w:r>
    </w:p>
    <w:p w14:paraId="0E0DB8DE" w14:textId="7022E944" w:rsidR="00A60BD9" w:rsidRDefault="40596006" w:rsidP="0012069F">
      <w:pPr>
        <w:keepNext/>
        <w:numPr>
          <w:ilvl w:val="1"/>
          <w:numId w:val="11"/>
        </w:numPr>
        <w:spacing w:before="240" w:after="200" w:line="276" w:lineRule="auto"/>
        <w:ind w:left="567" w:hanging="567"/>
        <w:jc w:val="both"/>
      </w:pPr>
      <w:r>
        <w:t xml:space="preserve">Permission was granted for a temporary change of use of the Oxford Playhouse Theatre to additional teaching and lecture space for the University of Oxford (20/02145/FUL).  The premises were forced to close due to the COVID-19 pandemic, and </w:t>
      </w:r>
      <w:r w:rsidR="00C059E6">
        <w:t xml:space="preserve">the proposal </w:t>
      </w:r>
      <w:r>
        <w:t>made use of the space while reopening was unviable.  The proposal was deemed to be beneficial as the revenue generated would have secured the future of the cultural facility.  As the permission was to expire on 30 April 2021 with the expectation that the former use as a theatre will be reverted to, this is not considered to be</w:t>
      </w:r>
      <w:r w:rsidR="1E7DFA9C">
        <w:t xml:space="preserve"> a</w:t>
      </w:r>
      <w:r>
        <w:t xml:space="preserve"> loss of community facilities contrary to the provisions of policy V7.  It is therefore considered that there was not an overall net loss of </w:t>
      </w:r>
      <w:proofErr w:type="spellStart"/>
      <w:r>
        <w:t>floorspace</w:t>
      </w:r>
      <w:proofErr w:type="spellEnd"/>
      <w:r>
        <w:t xml:space="preserve"> due to planning consents for such activities over the monitoring period.</w:t>
      </w:r>
    </w:p>
    <w:p w14:paraId="3F79C88F" w14:textId="77777777" w:rsidR="00A60BD9" w:rsidRPr="002A0ECC" w:rsidRDefault="00A60BD9" w:rsidP="002A0ECC">
      <w:pPr>
        <w:pStyle w:val="Default"/>
        <w:rPr>
          <w:rFonts w:asciiTheme="minorHAnsi" w:hAnsiTheme="minorHAnsi" w:cstheme="minorHAnsi"/>
          <w:b/>
          <w:szCs w:val="20"/>
        </w:rPr>
      </w:pPr>
      <w:r w:rsidRPr="002A0ECC">
        <w:rPr>
          <w:rFonts w:asciiTheme="minorHAnsi" w:hAnsiTheme="minorHAnsi" w:cstheme="minorHAnsi"/>
          <w:b/>
          <w:szCs w:val="20"/>
        </w:rPr>
        <w:t>Assets of Community Value</w:t>
      </w:r>
    </w:p>
    <w:p w14:paraId="53D1E7E5" w14:textId="33555B54" w:rsidR="00530AD2" w:rsidRDefault="40596006" w:rsidP="0012069F">
      <w:pPr>
        <w:keepNext/>
        <w:numPr>
          <w:ilvl w:val="1"/>
          <w:numId w:val="11"/>
        </w:numPr>
        <w:spacing w:before="240" w:after="200" w:line="276" w:lineRule="auto"/>
        <w:ind w:left="567" w:hanging="567"/>
        <w:jc w:val="both"/>
      </w:pPr>
      <w:r>
        <w:t xml:space="preserve">The Community Right to Bid allows defined community groups to ask the Council to list certain assets as being of ‘community value’. The Localism Act (2011) and the Assets of Community Value Regulations (2012) set out the opportunities and procedures to follow for communities wishing to identify assets of community value and have them listed. If an asset is listed and then comes up for sale, the right gives communities six months to raise finance and put together a bid to buy it. </w:t>
      </w:r>
    </w:p>
    <w:p w14:paraId="318DC545" w14:textId="32277223" w:rsidR="005B0327" w:rsidRPr="00530AD2" w:rsidRDefault="40596006" w:rsidP="0012069F">
      <w:pPr>
        <w:keepNext/>
        <w:numPr>
          <w:ilvl w:val="1"/>
          <w:numId w:val="11"/>
        </w:numPr>
        <w:spacing w:before="240" w:after="200" w:line="276" w:lineRule="auto"/>
        <w:ind w:left="567" w:hanging="567"/>
        <w:jc w:val="both"/>
      </w:pPr>
      <w:r>
        <w:t>If the proposed asset is properly nominated, is in the Oxford City Council administrative area, meets the definition, and is not excluded, the City Council must list it by placing it on the List of Local Assets of Community Value and inform all specified parties (including a parish council if relevant).</w:t>
      </w:r>
      <w:r w:rsidR="10E0E3E6">
        <w:t xml:space="preserve">  The Council </w:t>
      </w:r>
      <w:r>
        <w:t>must also place the asset on the local land charges register and, if the land is registered, apply for a restriction on the Land Register</w:t>
      </w:r>
      <w:r w:rsidR="1674C13A">
        <w:t xml:space="preserve">. </w:t>
      </w:r>
      <w:r>
        <w:t xml:space="preserve">Table </w:t>
      </w:r>
      <w:r w:rsidR="33A044B9">
        <w:t>1</w:t>
      </w:r>
      <w:r w:rsidR="000109E8">
        <w:t>9</w:t>
      </w:r>
      <w:r>
        <w:t xml:space="preserve"> sets out the current register of successfully nominated assets of community value.</w:t>
      </w:r>
    </w:p>
    <w:tbl>
      <w:tblPr>
        <w:tblW w:w="7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91"/>
        <w:gridCol w:w="1191"/>
        <w:gridCol w:w="1191"/>
        <w:gridCol w:w="1417"/>
        <w:gridCol w:w="1417"/>
      </w:tblGrid>
      <w:tr w:rsidR="00A60BD9" w:rsidRPr="005D36F8" w14:paraId="7297D515" w14:textId="77777777" w:rsidTr="005B0995">
        <w:trPr>
          <w:trHeight w:val="1035"/>
          <w:jc w:val="center"/>
        </w:trPr>
        <w:tc>
          <w:tcPr>
            <w:tcW w:w="1134" w:type="dxa"/>
            <w:shd w:val="clear" w:color="auto" w:fill="D9D9D9" w:themeFill="background1" w:themeFillShade="D9"/>
            <w:vAlign w:val="center"/>
            <w:hideMark/>
          </w:tcPr>
          <w:p w14:paraId="6C0F208E" w14:textId="77777777" w:rsidR="00A60BD9" w:rsidRPr="00C059E6" w:rsidRDefault="00A60BD9" w:rsidP="00CD22D6">
            <w:pPr>
              <w:spacing w:after="0" w:line="240" w:lineRule="auto"/>
              <w:jc w:val="center"/>
              <w:rPr>
                <w:rFonts w:eastAsia="Times New Roman" w:cstheme="minorHAnsi"/>
                <w:b/>
                <w:bCs/>
                <w:color w:val="000000"/>
                <w:sz w:val="20"/>
                <w:szCs w:val="20"/>
                <w:lang w:eastAsia="en-GB"/>
              </w:rPr>
            </w:pPr>
            <w:r w:rsidRPr="00C059E6">
              <w:rPr>
                <w:rFonts w:eastAsia="Times New Roman" w:cstheme="minorHAnsi"/>
                <w:b/>
                <w:bCs/>
                <w:color w:val="000000"/>
                <w:sz w:val="20"/>
                <w:szCs w:val="20"/>
                <w:lang w:eastAsia="en-GB"/>
              </w:rPr>
              <w:t>Reference</w:t>
            </w:r>
          </w:p>
        </w:tc>
        <w:tc>
          <w:tcPr>
            <w:tcW w:w="1191" w:type="dxa"/>
            <w:shd w:val="clear" w:color="auto" w:fill="D9D9D9" w:themeFill="background1" w:themeFillShade="D9"/>
            <w:vAlign w:val="center"/>
            <w:hideMark/>
          </w:tcPr>
          <w:p w14:paraId="1B60C89F" w14:textId="77777777" w:rsidR="00A60BD9" w:rsidRPr="00C059E6" w:rsidRDefault="00A60BD9" w:rsidP="00CD22D6">
            <w:pPr>
              <w:spacing w:after="0" w:line="240" w:lineRule="auto"/>
              <w:jc w:val="center"/>
              <w:rPr>
                <w:rFonts w:eastAsia="Times New Roman" w:cstheme="minorHAnsi"/>
                <w:b/>
                <w:bCs/>
                <w:color w:val="000000"/>
                <w:sz w:val="20"/>
                <w:szCs w:val="20"/>
                <w:lang w:eastAsia="en-GB"/>
              </w:rPr>
            </w:pPr>
            <w:r w:rsidRPr="00C059E6">
              <w:rPr>
                <w:rFonts w:eastAsia="Times New Roman" w:cstheme="minorHAnsi"/>
                <w:b/>
                <w:bCs/>
                <w:color w:val="000000"/>
                <w:sz w:val="20"/>
                <w:szCs w:val="20"/>
                <w:lang w:eastAsia="en-GB"/>
              </w:rPr>
              <w:t>Date nomination requested</w:t>
            </w:r>
          </w:p>
        </w:tc>
        <w:tc>
          <w:tcPr>
            <w:tcW w:w="1191" w:type="dxa"/>
            <w:shd w:val="clear" w:color="auto" w:fill="D9D9D9" w:themeFill="background1" w:themeFillShade="D9"/>
            <w:vAlign w:val="center"/>
            <w:hideMark/>
          </w:tcPr>
          <w:p w14:paraId="6AFD37ED" w14:textId="0200E4FE" w:rsidR="00A60BD9" w:rsidRPr="00C059E6" w:rsidRDefault="40596006" w:rsidP="108EF35C">
            <w:pPr>
              <w:spacing w:after="0" w:line="240" w:lineRule="auto"/>
              <w:jc w:val="center"/>
              <w:rPr>
                <w:rFonts w:eastAsia="Times New Roman"/>
                <w:b/>
                <w:bCs/>
                <w:color w:val="000000"/>
                <w:sz w:val="20"/>
                <w:szCs w:val="20"/>
                <w:lang w:eastAsia="en-GB"/>
              </w:rPr>
            </w:pPr>
            <w:r w:rsidRPr="00C059E6">
              <w:rPr>
                <w:rFonts w:eastAsia="Times New Roman"/>
                <w:b/>
                <w:bCs/>
                <w:color w:val="000000" w:themeColor="text1"/>
                <w:sz w:val="20"/>
                <w:szCs w:val="20"/>
                <w:lang w:eastAsia="en-GB"/>
              </w:rPr>
              <w:t>Date of decision</w:t>
            </w:r>
          </w:p>
        </w:tc>
        <w:tc>
          <w:tcPr>
            <w:tcW w:w="1191" w:type="dxa"/>
            <w:shd w:val="clear" w:color="auto" w:fill="D9D9D9" w:themeFill="background1" w:themeFillShade="D9"/>
            <w:vAlign w:val="center"/>
            <w:hideMark/>
          </w:tcPr>
          <w:p w14:paraId="0F5779D5" w14:textId="77777777" w:rsidR="00A60BD9" w:rsidRPr="00C059E6" w:rsidRDefault="00A60BD9" w:rsidP="00CD22D6">
            <w:pPr>
              <w:spacing w:after="0" w:line="240" w:lineRule="auto"/>
              <w:jc w:val="center"/>
              <w:rPr>
                <w:rFonts w:eastAsia="Times New Roman" w:cstheme="minorHAnsi"/>
                <w:b/>
                <w:bCs/>
                <w:color w:val="000000"/>
                <w:sz w:val="20"/>
                <w:szCs w:val="20"/>
                <w:lang w:eastAsia="en-GB"/>
              </w:rPr>
            </w:pPr>
            <w:r w:rsidRPr="00C059E6">
              <w:rPr>
                <w:rFonts w:eastAsia="Times New Roman" w:cstheme="minorHAnsi"/>
                <w:b/>
                <w:bCs/>
                <w:color w:val="000000"/>
                <w:sz w:val="20"/>
                <w:szCs w:val="20"/>
                <w:lang w:eastAsia="en-GB"/>
              </w:rPr>
              <w:t>Name of Asset</w:t>
            </w:r>
          </w:p>
        </w:tc>
        <w:tc>
          <w:tcPr>
            <w:tcW w:w="1417" w:type="dxa"/>
            <w:shd w:val="clear" w:color="auto" w:fill="D9D9D9" w:themeFill="background1" w:themeFillShade="D9"/>
            <w:vAlign w:val="center"/>
            <w:hideMark/>
          </w:tcPr>
          <w:p w14:paraId="29E9A83D" w14:textId="77777777" w:rsidR="00A60BD9" w:rsidRPr="00C059E6" w:rsidRDefault="00A60BD9" w:rsidP="00CD22D6">
            <w:pPr>
              <w:spacing w:after="0" w:line="240" w:lineRule="auto"/>
              <w:jc w:val="center"/>
              <w:rPr>
                <w:rFonts w:eastAsia="Times New Roman" w:cstheme="minorHAnsi"/>
                <w:b/>
                <w:bCs/>
                <w:color w:val="000000"/>
                <w:sz w:val="20"/>
                <w:szCs w:val="20"/>
                <w:lang w:eastAsia="en-GB"/>
              </w:rPr>
            </w:pPr>
            <w:r w:rsidRPr="00C059E6">
              <w:rPr>
                <w:rFonts w:eastAsia="Times New Roman" w:cstheme="minorHAnsi"/>
                <w:b/>
                <w:bCs/>
                <w:color w:val="000000"/>
                <w:sz w:val="20"/>
                <w:szCs w:val="20"/>
                <w:lang w:eastAsia="en-GB"/>
              </w:rPr>
              <w:t>Address of Asset</w:t>
            </w:r>
          </w:p>
        </w:tc>
        <w:tc>
          <w:tcPr>
            <w:tcW w:w="1417" w:type="dxa"/>
            <w:shd w:val="clear" w:color="auto" w:fill="D9D9D9" w:themeFill="background1" w:themeFillShade="D9"/>
            <w:vAlign w:val="center"/>
            <w:hideMark/>
          </w:tcPr>
          <w:p w14:paraId="03E7E70F" w14:textId="77777777" w:rsidR="00A60BD9" w:rsidRPr="00C059E6" w:rsidRDefault="00A60BD9" w:rsidP="00CD22D6">
            <w:pPr>
              <w:spacing w:after="0" w:line="240" w:lineRule="auto"/>
              <w:jc w:val="center"/>
              <w:rPr>
                <w:rFonts w:eastAsia="Times New Roman" w:cstheme="minorHAnsi"/>
                <w:b/>
                <w:bCs/>
                <w:color w:val="000000"/>
                <w:sz w:val="20"/>
                <w:szCs w:val="20"/>
                <w:lang w:eastAsia="en-GB"/>
              </w:rPr>
            </w:pPr>
            <w:r w:rsidRPr="00C059E6">
              <w:rPr>
                <w:rFonts w:eastAsia="Times New Roman" w:cstheme="minorHAnsi"/>
                <w:b/>
                <w:bCs/>
                <w:color w:val="000000"/>
                <w:sz w:val="20"/>
                <w:szCs w:val="20"/>
                <w:lang w:eastAsia="en-GB"/>
              </w:rPr>
              <w:t>End of listing period</w:t>
            </w:r>
          </w:p>
        </w:tc>
      </w:tr>
      <w:tr w:rsidR="00A60BD9" w:rsidRPr="005D36F8" w14:paraId="7027CFEB" w14:textId="77777777" w:rsidTr="005B0995">
        <w:trPr>
          <w:trHeight w:val="500"/>
          <w:jc w:val="center"/>
        </w:trPr>
        <w:tc>
          <w:tcPr>
            <w:tcW w:w="1134" w:type="dxa"/>
            <w:shd w:val="clear" w:color="auto" w:fill="auto"/>
            <w:vAlign w:val="center"/>
            <w:hideMark/>
          </w:tcPr>
          <w:p w14:paraId="45D66E08"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16/008</w:t>
            </w:r>
          </w:p>
        </w:tc>
        <w:tc>
          <w:tcPr>
            <w:tcW w:w="1191" w:type="dxa"/>
            <w:shd w:val="clear" w:color="auto" w:fill="auto"/>
            <w:vAlign w:val="center"/>
            <w:hideMark/>
          </w:tcPr>
          <w:p w14:paraId="4E47F5DB"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29.09.16</w:t>
            </w:r>
          </w:p>
        </w:tc>
        <w:tc>
          <w:tcPr>
            <w:tcW w:w="1191" w:type="dxa"/>
            <w:shd w:val="clear" w:color="auto" w:fill="auto"/>
            <w:vAlign w:val="center"/>
            <w:hideMark/>
          </w:tcPr>
          <w:p w14:paraId="39AFC14E"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13.02.17</w:t>
            </w:r>
          </w:p>
        </w:tc>
        <w:tc>
          <w:tcPr>
            <w:tcW w:w="1191" w:type="dxa"/>
            <w:shd w:val="clear" w:color="auto" w:fill="auto"/>
            <w:vAlign w:val="center"/>
            <w:hideMark/>
          </w:tcPr>
          <w:p w14:paraId="269792A6"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 xml:space="preserve">The </w:t>
            </w:r>
            <w:proofErr w:type="spellStart"/>
            <w:r w:rsidRPr="005D36F8">
              <w:rPr>
                <w:rFonts w:eastAsia="Times New Roman" w:cstheme="minorHAnsi"/>
                <w:color w:val="000000"/>
                <w:sz w:val="18"/>
                <w:szCs w:val="20"/>
                <w:lang w:eastAsia="en-GB"/>
              </w:rPr>
              <w:t>Hollybush</w:t>
            </w:r>
            <w:proofErr w:type="spellEnd"/>
          </w:p>
        </w:tc>
        <w:tc>
          <w:tcPr>
            <w:tcW w:w="1417" w:type="dxa"/>
            <w:shd w:val="clear" w:color="auto" w:fill="auto"/>
            <w:vAlign w:val="center"/>
            <w:hideMark/>
          </w:tcPr>
          <w:p w14:paraId="1FE19E75"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 xml:space="preserve">106 Bridge Street, </w:t>
            </w:r>
            <w:proofErr w:type="spellStart"/>
            <w:r w:rsidRPr="005D36F8">
              <w:rPr>
                <w:rFonts w:eastAsia="Times New Roman" w:cstheme="minorHAnsi"/>
                <w:color w:val="000000"/>
                <w:sz w:val="18"/>
                <w:szCs w:val="20"/>
                <w:lang w:eastAsia="en-GB"/>
              </w:rPr>
              <w:t>Osney</w:t>
            </w:r>
            <w:proofErr w:type="spellEnd"/>
            <w:r w:rsidRPr="005D36F8">
              <w:rPr>
                <w:rFonts w:eastAsia="Times New Roman" w:cstheme="minorHAnsi"/>
                <w:color w:val="000000"/>
                <w:sz w:val="18"/>
                <w:szCs w:val="20"/>
                <w:lang w:eastAsia="en-GB"/>
              </w:rPr>
              <w:t xml:space="preserve"> Island, Oxford, OX2 0BD</w:t>
            </w:r>
          </w:p>
        </w:tc>
        <w:tc>
          <w:tcPr>
            <w:tcW w:w="1417" w:type="dxa"/>
            <w:shd w:val="clear" w:color="auto" w:fill="auto"/>
            <w:vAlign w:val="center"/>
            <w:hideMark/>
          </w:tcPr>
          <w:p w14:paraId="2D88B22A"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13.02.22</w:t>
            </w:r>
          </w:p>
        </w:tc>
      </w:tr>
      <w:tr w:rsidR="00A60BD9" w:rsidRPr="005D36F8" w14:paraId="65AF9284" w14:textId="77777777" w:rsidTr="005B0995">
        <w:trPr>
          <w:trHeight w:val="750"/>
          <w:jc w:val="center"/>
        </w:trPr>
        <w:tc>
          <w:tcPr>
            <w:tcW w:w="1134" w:type="dxa"/>
            <w:shd w:val="clear" w:color="auto" w:fill="auto"/>
            <w:vAlign w:val="center"/>
            <w:hideMark/>
          </w:tcPr>
          <w:p w14:paraId="42606255"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18/001</w:t>
            </w:r>
          </w:p>
        </w:tc>
        <w:tc>
          <w:tcPr>
            <w:tcW w:w="1191" w:type="dxa"/>
            <w:shd w:val="clear" w:color="auto" w:fill="auto"/>
            <w:vAlign w:val="center"/>
            <w:hideMark/>
          </w:tcPr>
          <w:p w14:paraId="06A92961"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14.04.18</w:t>
            </w:r>
          </w:p>
        </w:tc>
        <w:tc>
          <w:tcPr>
            <w:tcW w:w="1191" w:type="dxa"/>
            <w:shd w:val="clear" w:color="auto" w:fill="auto"/>
            <w:vAlign w:val="center"/>
            <w:hideMark/>
          </w:tcPr>
          <w:p w14:paraId="22A52131"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27.06.18</w:t>
            </w:r>
          </w:p>
        </w:tc>
        <w:tc>
          <w:tcPr>
            <w:tcW w:w="1191" w:type="dxa"/>
            <w:shd w:val="clear" w:color="auto" w:fill="auto"/>
            <w:vAlign w:val="center"/>
            <w:hideMark/>
          </w:tcPr>
          <w:p w14:paraId="33F71C0F"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 xml:space="preserve">The </w:t>
            </w:r>
            <w:proofErr w:type="spellStart"/>
            <w:r w:rsidRPr="005D36F8">
              <w:rPr>
                <w:rFonts w:eastAsia="Times New Roman" w:cstheme="minorHAnsi"/>
                <w:color w:val="000000"/>
                <w:sz w:val="18"/>
                <w:szCs w:val="20"/>
                <w:lang w:eastAsia="en-GB"/>
              </w:rPr>
              <w:t>Kassam</w:t>
            </w:r>
            <w:proofErr w:type="spellEnd"/>
            <w:r w:rsidRPr="005D36F8">
              <w:rPr>
                <w:rFonts w:eastAsia="Times New Roman" w:cstheme="minorHAnsi"/>
                <w:color w:val="000000"/>
                <w:sz w:val="18"/>
                <w:szCs w:val="20"/>
                <w:lang w:eastAsia="en-GB"/>
              </w:rPr>
              <w:t xml:space="preserve"> Stadium</w:t>
            </w:r>
          </w:p>
        </w:tc>
        <w:tc>
          <w:tcPr>
            <w:tcW w:w="1417" w:type="dxa"/>
            <w:shd w:val="clear" w:color="auto" w:fill="auto"/>
            <w:vAlign w:val="center"/>
            <w:hideMark/>
          </w:tcPr>
          <w:p w14:paraId="29FC3B53"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Grenoble Road, Oxford, OX4 4XP</w:t>
            </w:r>
          </w:p>
        </w:tc>
        <w:tc>
          <w:tcPr>
            <w:tcW w:w="1417" w:type="dxa"/>
            <w:shd w:val="clear" w:color="auto" w:fill="auto"/>
            <w:vAlign w:val="center"/>
            <w:hideMark/>
          </w:tcPr>
          <w:p w14:paraId="4C7CAAC1"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27.06.23</w:t>
            </w:r>
          </w:p>
        </w:tc>
      </w:tr>
      <w:tr w:rsidR="00A60BD9" w:rsidRPr="005D36F8" w14:paraId="41ECDE94" w14:textId="77777777" w:rsidTr="005B0995">
        <w:trPr>
          <w:trHeight w:val="750"/>
          <w:jc w:val="center"/>
        </w:trPr>
        <w:tc>
          <w:tcPr>
            <w:tcW w:w="1134" w:type="dxa"/>
            <w:shd w:val="clear" w:color="auto" w:fill="auto"/>
            <w:vAlign w:val="center"/>
            <w:hideMark/>
          </w:tcPr>
          <w:p w14:paraId="1B94BB14"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lastRenderedPageBreak/>
              <w:t>19/001</w:t>
            </w:r>
          </w:p>
        </w:tc>
        <w:tc>
          <w:tcPr>
            <w:tcW w:w="1191" w:type="dxa"/>
            <w:shd w:val="clear" w:color="auto" w:fill="auto"/>
            <w:noWrap/>
            <w:vAlign w:val="center"/>
            <w:hideMark/>
          </w:tcPr>
          <w:p w14:paraId="33D9C209"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10.12.19</w:t>
            </w:r>
          </w:p>
        </w:tc>
        <w:tc>
          <w:tcPr>
            <w:tcW w:w="1191" w:type="dxa"/>
            <w:shd w:val="clear" w:color="auto" w:fill="auto"/>
            <w:vAlign w:val="center"/>
            <w:hideMark/>
          </w:tcPr>
          <w:p w14:paraId="43F5AFF5"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05.02.20</w:t>
            </w:r>
          </w:p>
        </w:tc>
        <w:tc>
          <w:tcPr>
            <w:tcW w:w="1191" w:type="dxa"/>
            <w:shd w:val="clear" w:color="auto" w:fill="auto"/>
            <w:vAlign w:val="center"/>
            <w:hideMark/>
          </w:tcPr>
          <w:p w14:paraId="436C17EE"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East Oxford Community Centre</w:t>
            </w:r>
          </w:p>
        </w:tc>
        <w:tc>
          <w:tcPr>
            <w:tcW w:w="1417" w:type="dxa"/>
            <w:shd w:val="clear" w:color="auto" w:fill="auto"/>
            <w:vAlign w:val="center"/>
            <w:hideMark/>
          </w:tcPr>
          <w:p w14:paraId="24DEDBB5"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44B Princes Street, Oxford, OX4 1DD</w:t>
            </w:r>
          </w:p>
        </w:tc>
        <w:tc>
          <w:tcPr>
            <w:tcW w:w="1417" w:type="dxa"/>
            <w:shd w:val="clear" w:color="auto" w:fill="auto"/>
            <w:vAlign w:val="center"/>
            <w:hideMark/>
          </w:tcPr>
          <w:p w14:paraId="149F64DB"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05.02.25</w:t>
            </w:r>
          </w:p>
        </w:tc>
      </w:tr>
      <w:tr w:rsidR="00A60BD9" w:rsidRPr="005D36F8" w14:paraId="763EC8BF" w14:textId="77777777" w:rsidTr="005B0995">
        <w:trPr>
          <w:trHeight w:val="1270"/>
          <w:jc w:val="center"/>
        </w:trPr>
        <w:tc>
          <w:tcPr>
            <w:tcW w:w="1134" w:type="dxa"/>
            <w:shd w:val="clear" w:color="auto" w:fill="auto"/>
            <w:noWrap/>
            <w:vAlign w:val="center"/>
            <w:hideMark/>
          </w:tcPr>
          <w:p w14:paraId="3723B65F" w14:textId="77777777" w:rsidR="00A60BD9" w:rsidRPr="005D36F8" w:rsidRDefault="00A60BD9" w:rsidP="00485A40">
            <w:pPr>
              <w:spacing w:after="0" w:line="240" w:lineRule="auto"/>
              <w:jc w:val="center"/>
              <w:rPr>
                <w:rFonts w:eastAsia="Times New Roman" w:cstheme="minorHAnsi"/>
                <w:sz w:val="18"/>
                <w:szCs w:val="20"/>
                <w:lang w:eastAsia="en-GB"/>
              </w:rPr>
            </w:pPr>
            <w:r w:rsidRPr="005D36F8">
              <w:rPr>
                <w:rFonts w:eastAsia="Times New Roman" w:cstheme="minorHAnsi"/>
                <w:sz w:val="18"/>
                <w:szCs w:val="20"/>
                <w:lang w:eastAsia="en-GB"/>
              </w:rPr>
              <w:t>20/001</w:t>
            </w:r>
          </w:p>
        </w:tc>
        <w:tc>
          <w:tcPr>
            <w:tcW w:w="1191" w:type="dxa"/>
            <w:shd w:val="clear" w:color="auto" w:fill="auto"/>
            <w:noWrap/>
            <w:vAlign w:val="center"/>
            <w:hideMark/>
          </w:tcPr>
          <w:p w14:paraId="701835D9" w14:textId="77777777" w:rsidR="00A60BD9" w:rsidRPr="005D36F8" w:rsidRDefault="00A60BD9" w:rsidP="00485A40">
            <w:pPr>
              <w:spacing w:after="0" w:line="240" w:lineRule="auto"/>
              <w:jc w:val="center"/>
              <w:rPr>
                <w:rFonts w:eastAsia="Times New Roman" w:cstheme="minorHAnsi"/>
                <w:sz w:val="18"/>
                <w:szCs w:val="20"/>
                <w:lang w:eastAsia="en-GB"/>
              </w:rPr>
            </w:pPr>
            <w:r w:rsidRPr="005D36F8">
              <w:rPr>
                <w:rFonts w:eastAsia="Times New Roman" w:cstheme="minorHAnsi"/>
                <w:sz w:val="18"/>
                <w:szCs w:val="20"/>
                <w:lang w:eastAsia="en-GB"/>
              </w:rPr>
              <w:t>13.05.20</w:t>
            </w:r>
          </w:p>
        </w:tc>
        <w:tc>
          <w:tcPr>
            <w:tcW w:w="1191" w:type="dxa"/>
            <w:shd w:val="clear" w:color="auto" w:fill="auto"/>
            <w:vAlign w:val="center"/>
            <w:hideMark/>
          </w:tcPr>
          <w:p w14:paraId="6BD6AFC7" w14:textId="77777777" w:rsidR="00A60BD9" w:rsidRPr="005D36F8" w:rsidRDefault="00A60BD9" w:rsidP="00485A40">
            <w:pPr>
              <w:spacing w:after="0" w:line="240" w:lineRule="auto"/>
              <w:jc w:val="center"/>
              <w:rPr>
                <w:rFonts w:eastAsia="Times New Roman" w:cstheme="minorHAnsi"/>
                <w:sz w:val="18"/>
                <w:szCs w:val="20"/>
                <w:lang w:eastAsia="en-GB"/>
              </w:rPr>
            </w:pPr>
            <w:r w:rsidRPr="005D36F8">
              <w:rPr>
                <w:rFonts w:eastAsia="Times New Roman" w:cstheme="minorHAnsi"/>
                <w:sz w:val="18"/>
                <w:szCs w:val="20"/>
                <w:lang w:eastAsia="en-GB"/>
              </w:rPr>
              <w:t>16.07.20</w:t>
            </w:r>
          </w:p>
        </w:tc>
        <w:tc>
          <w:tcPr>
            <w:tcW w:w="1191" w:type="dxa"/>
            <w:shd w:val="clear" w:color="auto" w:fill="auto"/>
            <w:vAlign w:val="center"/>
            <w:hideMark/>
          </w:tcPr>
          <w:p w14:paraId="26225F81" w14:textId="77777777" w:rsidR="00A60BD9" w:rsidRPr="005D36F8" w:rsidRDefault="00A60BD9" w:rsidP="00485A40">
            <w:pPr>
              <w:spacing w:after="0" w:line="240" w:lineRule="auto"/>
              <w:jc w:val="center"/>
              <w:rPr>
                <w:rFonts w:eastAsia="Times New Roman" w:cstheme="minorHAnsi"/>
                <w:sz w:val="18"/>
                <w:szCs w:val="20"/>
                <w:lang w:eastAsia="en-GB"/>
              </w:rPr>
            </w:pPr>
            <w:r w:rsidRPr="005D36F8">
              <w:rPr>
                <w:rFonts w:eastAsia="Times New Roman" w:cstheme="minorHAnsi"/>
                <w:sz w:val="18"/>
                <w:szCs w:val="20"/>
                <w:lang w:eastAsia="en-GB"/>
              </w:rPr>
              <w:t>The George Inn PH (</w:t>
            </w:r>
            <w:r w:rsidRPr="005D36F8">
              <w:rPr>
                <w:rFonts w:eastAsia="Times New Roman" w:cstheme="minorHAnsi"/>
                <w:b/>
                <w:bCs/>
                <w:sz w:val="18"/>
                <w:szCs w:val="20"/>
                <w:u w:val="single"/>
                <w:lang w:eastAsia="en-GB"/>
              </w:rPr>
              <w:t>retained pub land only</w:t>
            </w:r>
            <w:r w:rsidRPr="005D36F8">
              <w:rPr>
                <w:rFonts w:eastAsia="Times New Roman" w:cstheme="minorHAnsi"/>
                <w:sz w:val="18"/>
                <w:szCs w:val="20"/>
                <w:lang w:eastAsia="en-GB"/>
              </w:rPr>
              <w:t>)</w:t>
            </w:r>
          </w:p>
        </w:tc>
        <w:tc>
          <w:tcPr>
            <w:tcW w:w="1417" w:type="dxa"/>
            <w:shd w:val="clear" w:color="auto" w:fill="auto"/>
            <w:vAlign w:val="center"/>
            <w:hideMark/>
          </w:tcPr>
          <w:p w14:paraId="0FB6953C" w14:textId="77777777" w:rsidR="00A60BD9" w:rsidRPr="005D36F8" w:rsidRDefault="00A60BD9" w:rsidP="00485A40">
            <w:pPr>
              <w:spacing w:after="0" w:line="240" w:lineRule="auto"/>
              <w:jc w:val="center"/>
              <w:rPr>
                <w:rFonts w:eastAsia="Times New Roman" w:cstheme="minorHAnsi"/>
                <w:sz w:val="18"/>
                <w:szCs w:val="20"/>
                <w:lang w:eastAsia="en-GB"/>
              </w:rPr>
            </w:pPr>
            <w:r w:rsidRPr="005D36F8">
              <w:rPr>
                <w:rFonts w:eastAsia="Times New Roman" w:cstheme="minorHAnsi"/>
                <w:sz w:val="18"/>
                <w:szCs w:val="20"/>
                <w:lang w:eastAsia="en-GB"/>
              </w:rPr>
              <w:t xml:space="preserve">5 </w:t>
            </w:r>
            <w:proofErr w:type="spellStart"/>
            <w:r w:rsidRPr="005D36F8">
              <w:rPr>
                <w:rFonts w:eastAsia="Times New Roman" w:cstheme="minorHAnsi"/>
                <w:sz w:val="18"/>
                <w:szCs w:val="20"/>
                <w:lang w:eastAsia="en-GB"/>
              </w:rPr>
              <w:t>Sandford</w:t>
            </w:r>
            <w:proofErr w:type="spellEnd"/>
            <w:r w:rsidRPr="005D36F8">
              <w:rPr>
                <w:rFonts w:eastAsia="Times New Roman" w:cstheme="minorHAnsi"/>
                <w:sz w:val="18"/>
                <w:szCs w:val="20"/>
                <w:lang w:eastAsia="en-GB"/>
              </w:rPr>
              <w:t xml:space="preserve"> Road, Littlemore, Oxford</w:t>
            </w:r>
          </w:p>
        </w:tc>
        <w:tc>
          <w:tcPr>
            <w:tcW w:w="1417" w:type="dxa"/>
            <w:shd w:val="clear" w:color="auto" w:fill="auto"/>
            <w:noWrap/>
            <w:vAlign w:val="center"/>
            <w:hideMark/>
          </w:tcPr>
          <w:p w14:paraId="6A87C934" w14:textId="77777777" w:rsidR="00A60BD9" w:rsidRPr="005D36F8" w:rsidRDefault="00A60BD9" w:rsidP="00485A40">
            <w:pPr>
              <w:spacing w:after="0" w:line="240" w:lineRule="auto"/>
              <w:jc w:val="center"/>
              <w:rPr>
                <w:rFonts w:eastAsia="Times New Roman" w:cstheme="minorHAnsi"/>
                <w:sz w:val="18"/>
                <w:szCs w:val="20"/>
                <w:lang w:eastAsia="en-GB"/>
              </w:rPr>
            </w:pPr>
            <w:r w:rsidRPr="005D36F8">
              <w:rPr>
                <w:rFonts w:eastAsia="Times New Roman" w:cstheme="minorHAnsi"/>
                <w:sz w:val="18"/>
                <w:szCs w:val="20"/>
                <w:lang w:eastAsia="en-GB"/>
              </w:rPr>
              <w:t>16.07.25</w:t>
            </w:r>
          </w:p>
        </w:tc>
      </w:tr>
      <w:tr w:rsidR="00A60BD9" w:rsidRPr="005D36F8" w14:paraId="174E74EA" w14:textId="77777777" w:rsidTr="005B0995">
        <w:trPr>
          <w:trHeight w:val="1000"/>
          <w:jc w:val="center"/>
        </w:trPr>
        <w:tc>
          <w:tcPr>
            <w:tcW w:w="1134" w:type="dxa"/>
            <w:shd w:val="clear" w:color="auto" w:fill="auto"/>
            <w:noWrap/>
            <w:vAlign w:val="center"/>
            <w:hideMark/>
          </w:tcPr>
          <w:p w14:paraId="61A84710" w14:textId="77777777" w:rsidR="00A60BD9" w:rsidRPr="005D36F8" w:rsidRDefault="00A60BD9" w:rsidP="00485A40">
            <w:pPr>
              <w:spacing w:after="0" w:line="240" w:lineRule="auto"/>
              <w:jc w:val="center"/>
              <w:rPr>
                <w:rFonts w:eastAsia="Times New Roman" w:cstheme="minorHAnsi"/>
                <w:sz w:val="18"/>
                <w:szCs w:val="20"/>
                <w:lang w:eastAsia="en-GB"/>
              </w:rPr>
            </w:pPr>
            <w:r w:rsidRPr="005D36F8">
              <w:rPr>
                <w:rFonts w:eastAsia="Times New Roman" w:cstheme="minorHAnsi"/>
                <w:sz w:val="18"/>
                <w:szCs w:val="20"/>
                <w:lang w:eastAsia="en-GB"/>
              </w:rPr>
              <w:t>20/003</w:t>
            </w:r>
          </w:p>
        </w:tc>
        <w:tc>
          <w:tcPr>
            <w:tcW w:w="1191" w:type="dxa"/>
            <w:shd w:val="clear" w:color="auto" w:fill="auto"/>
            <w:noWrap/>
            <w:vAlign w:val="center"/>
            <w:hideMark/>
          </w:tcPr>
          <w:p w14:paraId="0FBB1E70" w14:textId="77777777" w:rsidR="00A60BD9" w:rsidRPr="005D36F8" w:rsidRDefault="00A60BD9" w:rsidP="00485A40">
            <w:pPr>
              <w:spacing w:after="0" w:line="240" w:lineRule="auto"/>
              <w:jc w:val="center"/>
              <w:rPr>
                <w:rFonts w:eastAsia="Times New Roman" w:cstheme="minorHAnsi"/>
                <w:sz w:val="18"/>
                <w:szCs w:val="20"/>
                <w:lang w:eastAsia="en-GB"/>
              </w:rPr>
            </w:pPr>
            <w:r w:rsidRPr="005D36F8">
              <w:rPr>
                <w:rFonts w:eastAsia="Times New Roman" w:cstheme="minorHAnsi"/>
                <w:sz w:val="18"/>
                <w:szCs w:val="20"/>
                <w:lang w:eastAsia="en-GB"/>
              </w:rPr>
              <w:t>04.11.20</w:t>
            </w:r>
          </w:p>
        </w:tc>
        <w:tc>
          <w:tcPr>
            <w:tcW w:w="1191" w:type="dxa"/>
            <w:shd w:val="clear" w:color="auto" w:fill="auto"/>
            <w:noWrap/>
            <w:vAlign w:val="center"/>
            <w:hideMark/>
          </w:tcPr>
          <w:p w14:paraId="188B5833"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16.12.20</w:t>
            </w:r>
          </w:p>
        </w:tc>
        <w:tc>
          <w:tcPr>
            <w:tcW w:w="1191" w:type="dxa"/>
            <w:shd w:val="clear" w:color="auto" w:fill="auto"/>
            <w:vAlign w:val="center"/>
            <w:hideMark/>
          </w:tcPr>
          <w:p w14:paraId="34C36822" w14:textId="77777777" w:rsidR="00A60BD9" w:rsidRPr="005D36F8" w:rsidRDefault="00A60BD9" w:rsidP="00485A40">
            <w:pPr>
              <w:spacing w:after="0" w:line="240" w:lineRule="auto"/>
              <w:jc w:val="center"/>
              <w:rPr>
                <w:rFonts w:eastAsia="Times New Roman" w:cstheme="minorHAnsi"/>
                <w:sz w:val="18"/>
                <w:szCs w:val="20"/>
                <w:lang w:eastAsia="en-GB"/>
              </w:rPr>
            </w:pPr>
            <w:proofErr w:type="spellStart"/>
            <w:r w:rsidRPr="005D36F8">
              <w:rPr>
                <w:rFonts w:eastAsia="Times New Roman" w:cstheme="minorHAnsi"/>
                <w:sz w:val="18"/>
                <w:szCs w:val="20"/>
                <w:lang w:eastAsia="en-GB"/>
              </w:rPr>
              <w:t>Cowley</w:t>
            </w:r>
            <w:proofErr w:type="spellEnd"/>
            <w:r w:rsidRPr="005D36F8">
              <w:rPr>
                <w:rFonts w:eastAsia="Times New Roman" w:cstheme="minorHAnsi"/>
                <w:sz w:val="18"/>
                <w:szCs w:val="20"/>
                <w:lang w:eastAsia="en-GB"/>
              </w:rPr>
              <w:t xml:space="preserve"> Workers Social Club</w:t>
            </w:r>
          </w:p>
        </w:tc>
        <w:tc>
          <w:tcPr>
            <w:tcW w:w="1417" w:type="dxa"/>
            <w:shd w:val="clear" w:color="auto" w:fill="auto"/>
            <w:vAlign w:val="center"/>
            <w:hideMark/>
          </w:tcPr>
          <w:p w14:paraId="477E9E64" w14:textId="77777777" w:rsidR="00A60BD9" w:rsidRPr="005D36F8" w:rsidRDefault="00A60BD9" w:rsidP="00485A40">
            <w:pPr>
              <w:spacing w:after="0" w:line="240" w:lineRule="auto"/>
              <w:jc w:val="center"/>
              <w:rPr>
                <w:rFonts w:eastAsia="Times New Roman" w:cstheme="minorHAnsi"/>
                <w:sz w:val="18"/>
                <w:szCs w:val="20"/>
                <w:lang w:eastAsia="en-GB"/>
              </w:rPr>
            </w:pPr>
            <w:r w:rsidRPr="005D36F8">
              <w:rPr>
                <w:rFonts w:eastAsia="Times New Roman" w:cstheme="minorHAnsi"/>
                <w:sz w:val="18"/>
                <w:szCs w:val="20"/>
                <w:lang w:eastAsia="en-GB"/>
              </w:rPr>
              <w:t>Between Towns Road, Oxford, OX4 3LZ</w:t>
            </w:r>
          </w:p>
        </w:tc>
        <w:tc>
          <w:tcPr>
            <w:tcW w:w="1417" w:type="dxa"/>
            <w:shd w:val="clear" w:color="auto" w:fill="auto"/>
            <w:noWrap/>
            <w:vAlign w:val="center"/>
            <w:hideMark/>
          </w:tcPr>
          <w:p w14:paraId="5F8F4B73" w14:textId="77777777" w:rsidR="00A60BD9" w:rsidRPr="005D36F8" w:rsidRDefault="00A60BD9" w:rsidP="00485A40">
            <w:pPr>
              <w:spacing w:after="0" w:line="240" w:lineRule="auto"/>
              <w:jc w:val="center"/>
              <w:rPr>
                <w:rFonts w:eastAsia="Times New Roman" w:cstheme="minorHAnsi"/>
                <w:color w:val="000000"/>
                <w:sz w:val="18"/>
                <w:szCs w:val="20"/>
                <w:lang w:eastAsia="en-GB"/>
              </w:rPr>
            </w:pPr>
            <w:r w:rsidRPr="005D36F8">
              <w:rPr>
                <w:rFonts w:eastAsia="Times New Roman" w:cstheme="minorHAnsi"/>
                <w:color w:val="000000"/>
                <w:sz w:val="18"/>
                <w:szCs w:val="20"/>
                <w:lang w:eastAsia="en-GB"/>
              </w:rPr>
              <w:t>16.12.25</w:t>
            </w:r>
          </w:p>
        </w:tc>
      </w:tr>
    </w:tbl>
    <w:p w14:paraId="41813965" w14:textId="2E5EB3A6" w:rsidR="00FB6398" w:rsidRDefault="00A60BD9" w:rsidP="0040521B">
      <w:pPr>
        <w:spacing w:before="240"/>
        <w:jc w:val="center"/>
        <w:rPr>
          <w:b/>
          <w:bCs/>
        </w:rPr>
      </w:pPr>
      <w:r w:rsidRPr="00C01EF4">
        <w:rPr>
          <w:rFonts w:eastAsia="Times New Roman"/>
          <w:b/>
          <w:bCs/>
          <w:color w:val="000000" w:themeColor="text1"/>
          <w:sz w:val="20"/>
          <w:szCs w:val="20"/>
          <w:lang w:eastAsia="en-GB"/>
        </w:rPr>
        <w:t xml:space="preserve">Table </w:t>
      </w:r>
      <w:r w:rsidR="00C302A2" w:rsidRPr="00C01EF4">
        <w:rPr>
          <w:rFonts w:eastAsia="Times New Roman"/>
          <w:b/>
          <w:bCs/>
          <w:color w:val="000000" w:themeColor="text1"/>
          <w:sz w:val="20"/>
          <w:szCs w:val="20"/>
          <w:lang w:eastAsia="en-GB"/>
        </w:rPr>
        <w:t>1</w:t>
      </w:r>
      <w:r w:rsidR="000109E8">
        <w:rPr>
          <w:rFonts w:eastAsia="Times New Roman"/>
          <w:b/>
          <w:bCs/>
          <w:color w:val="000000" w:themeColor="text1"/>
          <w:sz w:val="20"/>
          <w:szCs w:val="20"/>
          <w:lang w:eastAsia="en-GB"/>
        </w:rPr>
        <w:t>9</w:t>
      </w:r>
      <w:r w:rsidRPr="00C01EF4">
        <w:rPr>
          <w:rFonts w:eastAsia="Times New Roman"/>
          <w:bCs/>
          <w:color w:val="000000" w:themeColor="text1"/>
          <w:sz w:val="20"/>
          <w:szCs w:val="20"/>
          <w:lang w:eastAsia="en-GB"/>
        </w:rPr>
        <w:t>: Current list of assets of community value</w:t>
      </w:r>
      <w:r w:rsidRPr="00C01EF4">
        <w:rPr>
          <w:b/>
          <w:bCs/>
        </w:rPr>
        <w:t xml:space="preserve"> </w:t>
      </w:r>
      <w:r w:rsidRPr="7A04C4E7">
        <w:rPr>
          <w:b/>
          <w:bCs/>
        </w:rPr>
        <w:br w:type="page"/>
      </w:r>
    </w:p>
    <w:p w14:paraId="61B83977" w14:textId="35DB7F81" w:rsidR="000E1360" w:rsidRPr="0040521B" w:rsidRDefault="0015507F" w:rsidP="0040521B">
      <w:pPr>
        <w:pStyle w:val="Heading1"/>
      </w:pPr>
      <w:bookmarkStart w:id="48" w:name="_Toc86400466"/>
      <w:bookmarkStart w:id="49" w:name="_Toc88135866"/>
      <w:r>
        <w:lastRenderedPageBreak/>
        <w:t>Chapter 5: Oxford’s Natural and Historic E</w:t>
      </w:r>
      <w:r w:rsidR="000E1360">
        <w:t>nvironment</w:t>
      </w:r>
      <w:bookmarkEnd w:id="48"/>
      <w:bookmarkEnd w:id="49"/>
    </w:p>
    <w:p w14:paraId="7F5E743D" w14:textId="659E4031" w:rsidR="00BB7EE1" w:rsidRPr="00BB7EE1" w:rsidRDefault="000E1360" w:rsidP="00BB7EE1">
      <w:pPr>
        <w:pStyle w:val="Heading2"/>
      </w:pPr>
      <w:bookmarkStart w:id="50" w:name="_Toc86400468"/>
      <w:bookmarkStart w:id="51" w:name="_Toc88135867"/>
      <w:r w:rsidRPr="002A0ECC">
        <w:t>Sustainable development</w:t>
      </w:r>
      <w:bookmarkEnd w:id="51"/>
      <w:r w:rsidRPr="002A0ECC">
        <w:t xml:space="preserve"> </w:t>
      </w:r>
      <w:bookmarkEnd w:id="50"/>
    </w:p>
    <w:p w14:paraId="3E290B12" w14:textId="77777777" w:rsidR="00530AD2" w:rsidRPr="00530AD2" w:rsidRDefault="00530AD2" w:rsidP="00983FDF">
      <w:pPr>
        <w:pStyle w:val="ListParagraph"/>
        <w:keepNext/>
        <w:numPr>
          <w:ilvl w:val="0"/>
          <w:numId w:val="11"/>
        </w:numPr>
        <w:spacing w:before="240" w:after="200" w:line="276" w:lineRule="auto"/>
        <w:jc w:val="both"/>
        <w:rPr>
          <w:vanish/>
        </w:rPr>
      </w:pPr>
    </w:p>
    <w:p w14:paraId="3B3E5CD4" w14:textId="1278B96F" w:rsidR="00BB7EE1" w:rsidRDefault="000E1360" w:rsidP="0012069F">
      <w:pPr>
        <w:keepNext/>
        <w:numPr>
          <w:ilvl w:val="1"/>
          <w:numId w:val="11"/>
        </w:numPr>
        <w:spacing w:before="240" w:after="200" w:line="276" w:lineRule="auto"/>
        <w:ind w:left="567" w:hanging="567"/>
        <w:jc w:val="both"/>
      </w:pPr>
      <w:r w:rsidRPr="00B226D9">
        <w:t>Policy RE1</w:t>
      </w:r>
      <w:r>
        <w:t xml:space="preserve"> is wide-ranging covering various aspects of design which should contribute to ensuring the sustainability of a development.  Carbon reduction measures are required on all new build development and a target of at least a 40% reduction on targets set out in Building Regulations should be achieved on new build residential dwellings and new-build non-residential development of over 1000m</w:t>
      </w:r>
      <w:r w:rsidRPr="00F6562C">
        <w:t>2</w:t>
      </w:r>
      <w:r>
        <w:t>. The majority of applicable major proposals during the monitoring period met the requirement of submitting an energy statement that demonstrated at least a 40% reduction in regulated carbon emissions as required by policy RE1.</w:t>
      </w:r>
    </w:p>
    <w:p w14:paraId="72C02440" w14:textId="6C95EA28" w:rsidR="00BB7EE1" w:rsidRDefault="000E1360" w:rsidP="00BB7EE1">
      <w:pPr>
        <w:keepNext/>
        <w:numPr>
          <w:ilvl w:val="1"/>
          <w:numId w:val="11"/>
        </w:numPr>
        <w:spacing w:before="240" w:after="200" w:line="276" w:lineRule="auto"/>
        <w:ind w:left="567" w:hanging="567"/>
        <w:jc w:val="both"/>
      </w:pPr>
      <w:r>
        <w:t xml:space="preserve">There were a number of applications, including one major (application </w:t>
      </w:r>
      <w:r w:rsidRPr="0012069F">
        <w:t xml:space="preserve">20/01156/FUL for the demolition of existing hotel and erection of a three storey 43 bed hotel), as well as twenty minor applications </w:t>
      </w:r>
      <w:r>
        <w:t xml:space="preserve">which were refused with policy RE1 serving as grounds, in part, for the reason that the proposal was not acceptable. </w:t>
      </w:r>
      <w:r w:rsidR="391E17D2">
        <w:t>Typically in</w:t>
      </w:r>
      <w:r>
        <w:t xml:space="preserve"> these cases, applications were considered to be deficient with regards to </w:t>
      </w:r>
      <w:r w:rsidR="00485A40">
        <w:t xml:space="preserve">policy </w:t>
      </w:r>
      <w:r>
        <w:t>RE1 as they did not provide an energy statement (or insufficient detail within the statement) to enable the Local Planning Authority to fully assess whether sustainable design and construction principles have been inc</w:t>
      </w:r>
      <w:r w:rsidR="00BB7EE1">
        <w:t>orporated into the development.</w:t>
      </w:r>
    </w:p>
    <w:p w14:paraId="570C0B02" w14:textId="03827A93" w:rsidR="00BB7EE1" w:rsidRDefault="000E1360" w:rsidP="00BB7EE1">
      <w:pPr>
        <w:keepNext/>
        <w:numPr>
          <w:ilvl w:val="1"/>
          <w:numId w:val="11"/>
        </w:numPr>
        <w:spacing w:before="240" w:after="200" w:line="276" w:lineRule="auto"/>
        <w:ind w:left="567" w:hanging="567"/>
        <w:jc w:val="both"/>
      </w:pPr>
      <w:r w:rsidRPr="00B226D9">
        <w:t>Policy RE1</w:t>
      </w:r>
      <w:r>
        <w:t xml:space="preserve"> also requires that new residential developments meet the higher water efficiency standards within the 2013 Building Regulations (or equivalent future legislation) Part G2 water consumption target of 110 litres per person per day.  All applicable major residential developments decided in the 2020/21 monitoring period against the Local Plan 2036 incorporated water efficiency measur</w:t>
      </w:r>
      <w:r w:rsidR="00485A40">
        <w:t>es intended to reduce the amount</w:t>
      </w:r>
      <w:r>
        <w:t xml:space="preserve"> of water consumption by residents.</w:t>
      </w:r>
    </w:p>
    <w:p w14:paraId="04A77D74" w14:textId="676CE14C" w:rsidR="000E1360" w:rsidRDefault="000E1360" w:rsidP="0012069F">
      <w:pPr>
        <w:keepNext/>
        <w:numPr>
          <w:ilvl w:val="1"/>
          <w:numId w:val="11"/>
        </w:numPr>
        <w:spacing w:before="240" w:after="200" w:line="276" w:lineRule="auto"/>
        <w:ind w:left="567" w:hanging="567"/>
        <w:jc w:val="both"/>
      </w:pPr>
      <w:r w:rsidRPr="00B226D9">
        <w:t>Policy RE2</w:t>
      </w:r>
      <w:r>
        <w:t xml:space="preserve"> states that planning permission will only be granted where development proposals make efficient use of land. Development proposals must make the best use of site capacity, when considering the site itself, the surrounding area and within the broader considerations of the needs of Oxford. High-density development (for residential development usually 100dph) is expected in the city centre and district centres. In addition, the following criteria must also be met:</w:t>
      </w:r>
    </w:p>
    <w:p w14:paraId="28848549" w14:textId="77777777" w:rsidR="000E1360" w:rsidRPr="0012069F" w:rsidRDefault="000E1360" w:rsidP="0012069F">
      <w:pPr>
        <w:pStyle w:val="ListParagraph"/>
        <w:numPr>
          <w:ilvl w:val="0"/>
          <w:numId w:val="9"/>
        </w:numPr>
        <w:spacing w:after="240"/>
        <w:ind w:left="993" w:hanging="284"/>
        <w:rPr>
          <w:rFonts w:asciiTheme="minorHAnsi" w:hAnsiTheme="minorHAnsi" w:cstheme="minorHAnsi"/>
        </w:rPr>
      </w:pPr>
      <w:r w:rsidRPr="0012069F">
        <w:rPr>
          <w:rFonts w:asciiTheme="minorHAnsi" w:hAnsiTheme="minorHAnsi" w:cstheme="minorHAnsi"/>
        </w:rPr>
        <w:t>the density must be appropriate for the use proposed;</w:t>
      </w:r>
    </w:p>
    <w:p w14:paraId="7EFA198F" w14:textId="77777777" w:rsidR="000E1360" w:rsidRPr="0012069F" w:rsidRDefault="000E1360" w:rsidP="0012069F">
      <w:pPr>
        <w:pStyle w:val="ListParagraph"/>
        <w:numPr>
          <w:ilvl w:val="0"/>
          <w:numId w:val="9"/>
        </w:numPr>
        <w:spacing w:after="240" w:line="259" w:lineRule="auto"/>
        <w:ind w:left="993" w:hanging="284"/>
        <w:rPr>
          <w:rFonts w:asciiTheme="minorHAnsi" w:hAnsiTheme="minorHAnsi" w:cstheme="minorHAnsi"/>
        </w:rPr>
      </w:pPr>
      <w:r w:rsidRPr="0012069F">
        <w:rPr>
          <w:rFonts w:asciiTheme="minorHAnsi" w:hAnsiTheme="minorHAnsi" w:cstheme="minorHAnsi"/>
        </w:rPr>
        <w:t>the scale of development, including building heights and massing should conform to other policies within the plan;</w:t>
      </w:r>
    </w:p>
    <w:p w14:paraId="5BB36D32" w14:textId="77777777" w:rsidR="000E1360" w:rsidRPr="0012069F" w:rsidRDefault="000E1360" w:rsidP="0012069F">
      <w:pPr>
        <w:pStyle w:val="ListParagraph"/>
        <w:numPr>
          <w:ilvl w:val="0"/>
          <w:numId w:val="9"/>
        </w:numPr>
        <w:spacing w:after="240" w:line="259" w:lineRule="auto"/>
        <w:ind w:left="993" w:hanging="284"/>
        <w:rPr>
          <w:rFonts w:asciiTheme="minorHAnsi" w:hAnsiTheme="minorHAnsi" w:cstheme="minorHAnsi"/>
        </w:rPr>
      </w:pPr>
      <w:r w:rsidRPr="0012069F">
        <w:rPr>
          <w:rFonts w:asciiTheme="minorHAnsi" w:hAnsiTheme="minorHAnsi" w:cstheme="minorHAnsi"/>
        </w:rPr>
        <w:t>opportunities for developing at the maximum appropriate density must be fully explored;</w:t>
      </w:r>
    </w:p>
    <w:p w14:paraId="3764D2D1" w14:textId="77777777" w:rsidR="00D47ADF" w:rsidRPr="0012069F" w:rsidRDefault="000E1360" w:rsidP="0012069F">
      <w:pPr>
        <w:pStyle w:val="ListParagraph"/>
        <w:numPr>
          <w:ilvl w:val="0"/>
          <w:numId w:val="9"/>
        </w:numPr>
        <w:spacing w:after="240" w:line="259" w:lineRule="auto"/>
        <w:ind w:left="993" w:hanging="284"/>
        <w:rPr>
          <w:rFonts w:asciiTheme="minorHAnsi" w:hAnsiTheme="minorHAnsi" w:cstheme="minorHAnsi"/>
        </w:rPr>
      </w:pPr>
      <w:proofErr w:type="gramStart"/>
      <w:r w:rsidRPr="0012069F">
        <w:rPr>
          <w:rFonts w:asciiTheme="minorHAnsi" w:hAnsiTheme="minorHAnsi" w:cstheme="minorHAnsi"/>
        </w:rPr>
        <w:t>the</w:t>
      </w:r>
      <w:proofErr w:type="gramEnd"/>
      <w:r w:rsidRPr="0012069F">
        <w:rPr>
          <w:rFonts w:asciiTheme="minorHAnsi" w:hAnsiTheme="minorHAnsi" w:cstheme="minorHAnsi"/>
        </w:rPr>
        <w:t xml:space="preserve"> built form and site layout must be appropriat</w:t>
      </w:r>
      <w:r w:rsidR="00D47ADF" w:rsidRPr="0012069F">
        <w:rPr>
          <w:rFonts w:asciiTheme="minorHAnsi" w:hAnsiTheme="minorHAnsi" w:cstheme="minorHAnsi"/>
        </w:rPr>
        <w:t>e for the capacity of the site.</w:t>
      </w:r>
    </w:p>
    <w:p w14:paraId="4BA906CA" w14:textId="77777777" w:rsidR="00D47ADF" w:rsidRDefault="00D47ADF" w:rsidP="00D47ADF">
      <w:pPr>
        <w:pStyle w:val="ListParagraph"/>
        <w:spacing w:after="160" w:line="259" w:lineRule="auto"/>
        <w:ind w:left="993"/>
      </w:pPr>
    </w:p>
    <w:p w14:paraId="664D4784" w14:textId="6A1688FA" w:rsidR="00D47ADF" w:rsidRPr="00D47ADF" w:rsidRDefault="00D47ADF" w:rsidP="0012069F">
      <w:pPr>
        <w:keepNext/>
        <w:numPr>
          <w:ilvl w:val="1"/>
          <w:numId w:val="11"/>
        </w:numPr>
        <w:spacing w:before="240" w:after="200" w:line="276" w:lineRule="auto"/>
        <w:ind w:left="567" w:hanging="567"/>
        <w:jc w:val="both"/>
      </w:pPr>
      <w:r w:rsidRPr="00D47ADF">
        <w:t xml:space="preserve">To measure the effectiveness of the policy, OCC monitors the number of </w:t>
      </w:r>
      <w:r w:rsidR="00FC743E" w:rsidRPr="00D47ADF">
        <w:t>applications</w:t>
      </w:r>
      <w:r w:rsidRPr="00D47ADF">
        <w:t xml:space="preserve"> refused on the grounds of non-compliance with policy RE2.  During the current monitoring period the following applications were refused on this basis.  It is noted that appeals against both decis</w:t>
      </w:r>
      <w:r>
        <w:t>ions were subsequently dismissed</w:t>
      </w:r>
      <w:r w:rsidR="000E1360">
        <w:t>:</w:t>
      </w:r>
    </w:p>
    <w:p w14:paraId="4421DF46" w14:textId="3DBD6F6A" w:rsidR="000E1360" w:rsidRPr="00D47ADF" w:rsidRDefault="000E1360" w:rsidP="00D47ADF">
      <w:pPr>
        <w:pStyle w:val="ListParagraph"/>
        <w:ind w:left="360"/>
        <w:rPr>
          <w:i/>
          <w:iCs/>
        </w:rPr>
      </w:pPr>
      <w:r>
        <w:t xml:space="preserve"> </w:t>
      </w:r>
    </w:p>
    <w:tbl>
      <w:tblPr>
        <w:tblStyle w:val="TableGrid"/>
        <w:tblW w:w="0" w:type="auto"/>
        <w:jc w:val="center"/>
        <w:tblLook w:val="04A0" w:firstRow="1" w:lastRow="0" w:firstColumn="1" w:lastColumn="0" w:noHBand="0" w:noVBand="1"/>
      </w:tblPr>
      <w:tblGrid>
        <w:gridCol w:w="1385"/>
        <w:gridCol w:w="30"/>
        <w:gridCol w:w="1353"/>
        <w:gridCol w:w="30"/>
        <w:gridCol w:w="1954"/>
        <w:gridCol w:w="30"/>
        <w:gridCol w:w="2084"/>
        <w:gridCol w:w="30"/>
      </w:tblGrid>
      <w:tr w:rsidR="000E1360" w14:paraId="24DB8E72" w14:textId="77777777" w:rsidTr="005B0995">
        <w:trPr>
          <w:jc w:val="center"/>
        </w:trPr>
        <w:tc>
          <w:tcPr>
            <w:tcW w:w="1415" w:type="dxa"/>
            <w:gridSpan w:val="2"/>
          </w:tcPr>
          <w:p w14:paraId="627F4BBB" w14:textId="77777777" w:rsidR="000E1360" w:rsidRPr="00485A40" w:rsidRDefault="000E1360" w:rsidP="00AE463D">
            <w:pPr>
              <w:jc w:val="center"/>
              <w:rPr>
                <w:b/>
                <w:sz w:val="20"/>
                <w:szCs w:val="20"/>
              </w:rPr>
            </w:pPr>
            <w:r w:rsidRPr="00485A40">
              <w:rPr>
                <w:b/>
                <w:sz w:val="20"/>
                <w:szCs w:val="20"/>
              </w:rPr>
              <w:lastRenderedPageBreak/>
              <w:t>Reference</w:t>
            </w:r>
          </w:p>
        </w:tc>
        <w:tc>
          <w:tcPr>
            <w:tcW w:w="1383" w:type="dxa"/>
            <w:gridSpan w:val="2"/>
          </w:tcPr>
          <w:p w14:paraId="488933D4" w14:textId="77777777" w:rsidR="000E1360" w:rsidRPr="00485A40" w:rsidRDefault="000E1360" w:rsidP="00AE463D">
            <w:pPr>
              <w:jc w:val="center"/>
              <w:rPr>
                <w:b/>
                <w:sz w:val="20"/>
                <w:szCs w:val="20"/>
              </w:rPr>
            </w:pPr>
            <w:r w:rsidRPr="00485A40">
              <w:rPr>
                <w:b/>
                <w:sz w:val="20"/>
                <w:szCs w:val="20"/>
              </w:rPr>
              <w:t>Address</w:t>
            </w:r>
          </w:p>
        </w:tc>
        <w:tc>
          <w:tcPr>
            <w:tcW w:w="1984" w:type="dxa"/>
            <w:gridSpan w:val="2"/>
          </w:tcPr>
          <w:p w14:paraId="52961F43" w14:textId="77777777" w:rsidR="000E1360" w:rsidRPr="00485A40" w:rsidRDefault="000E1360" w:rsidP="00AE463D">
            <w:pPr>
              <w:jc w:val="center"/>
              <w:rPr>
                <w:b/>
                <w:sz w:val="20"/>
                <w:szCs w:val="20"/>
              </w:rPr>
            </w:pPr>
            <w:r w:rsidRPr="00485A40">
              <w:rPr>
                <w:b/>
                <w:sz w:val="20"/>
                <w:szCs w:val="20"/>
              </w:rPr>
              <w:t>Description</w:t>
            </w:r>
          </w:p>
        </w:tc>
        <w:tc>
          <w:tcPr>
            <w:tcW w:w="2114" w:type="dxa"/>
            <w:gridSpan w:val="2"/>
          </w:tcPr>
          <w:p w14:paraId="643A1F9C" w14:textId="77777777" w:rsidR="000E1360" w:rsidRPr="00485A40" w:rsidRDefault="000E1360" w:rsidP="00AE463D">
            <w:pPr>
              <w:jc w:val="center"/>
              <w:rPr>
                <w:b/>
                <w:color w:val="000000"/>
                <w:sz w:val="20"/>
                <w:szCs w:val="20"/>
              </w:rPr>
            </w:pPr>
            <w:r w:rsidRPr="00485A40">
              <w:rPr>
                <w:b/>
                <w:color w:val="000000"/>
                <w:sz w:val="20"/>
                <w:szCs w:val="20"/>
              </w:rPr>
              <w:t>Reason for refusal</w:t>
            </w:r>
          </w:p>
        </w:tc>
      </w:tr>
      <w:tr w:rsidR="000E1360" w14:paraId="290C6C24" w14:textId="77777777" w:rsidTr="005B0995">
        <w:trPr>
          <w:gridAfter w:val="1"/>
          <w:wAfter w:w="30" w:type="dxa"/>
          <w:jc w:val="center"/>
        </w:trPr>
        <w:tc>
          <w:tcPr>
            <w:tcW w:w="1385" w:type="dxa"/>
          </w:tcPr>
          <w:p w14:paraId="15F47F09" w14:textId="77777777" w:rsidR="000E1360" w:rsidRPr="0044772D" w:rsidRDefault="000E1360" w:rsidP="00485A40">
            <w:pPr>
              <w:jc w:val="center"/>
              <w:rPr>
                <w:sz w:val="20"/>
                <w:szCs w:val="18"/>
              </w:rPr>
            </w:pPr>
            <w:r w:rsidRPr="0044772D">
              <w:rPr>
                <w:sz w:val="20"/>
                <w:szCs w:val="18"/>
              </w:rPr>
              <w:t>19/03223/FUL</w:t>
            </w:r>
          </w:p>
        </w:tc>
        <w:tc>
          <w:tcPr>
            <w:tcW w:w="1383" w:type="dxa"/>
            <w:gridSpan w:val="2"/>
          </w:tcPr>
          <w:p w14:paraId="5FBA4B04" w14:textId="77777777" w:rsidR="000E1360" w:rsidRPr="0044772D" w:rsidRDefault="000E1360" w:rsidP="00485A40">
            <w:pPr>
              <w:jc w:val="center"/>
              <w:rPr>
                <w:sz w:val="20"/>
                <w:szCs w:val="18"/>
              </w:rPr>
            </w:pPr>
            <w:r w:rsidRPr="0044772D">
              <w:rPr>
                <w:sz w:val="20"/>
                <w:szCs w:val="18"/>
              </w:rPr>
              <w:t xml:space="preserve">1 </w:t>
            </w:r>
            <w:proofErr w:type="spellStart"/>
            <w:r w:rsidRPr="0044772D">
              <w:rPr>
                <w:sz w:val="20"/>
                <w:szCs w:val="18"/>
              </w:rPr>
              <w:t>Pullens</w:t>
            </w:r>
            <w:proofErr w:type="spellEnd"/>
            <w:r w:rsidRPr="0044772D">
              <w:rPr>
                <w:sz w:val="20"/>
                <w:szCs w:val="18"/>
              </w:rPr>
              <w:t xml:space="preserve"> Lane Oxford OX3 0BX</w:t>
            </w:r>
          </w:p>
        </w:tc>
        <w:tc>
          <w:tcPr>
            <w:tcW w:w="1984" w:type="dxa"/>
            <w:gridSpan w:val="2"/>
          </w:tcPr>
          <w:p w14:paraId="08DCD4FD" w14:textId="0393614A" w:rsidR="000E1360" w:rsidRPr="0044772D" w:rsidRDefault="000E1360" w:rsidP="00485A40">
            <w:pPr>
              <w:jc w:val="center"/>
              <w:rPr>
                <w:sz w:val="20"/>
                <w:szCs w:val="20"/>
              </w:rPr>
            </w:pPr>
            <w:r w:rsidRPr="0A6D973C">
              <w:rPr>
                <w:sz w:val="20"/>
                <w:szCs w:val="20"/>
              </w:rPr>
              <w:t>Demolition of existing dwelling</w:t>
            </w:r>
            <w:r w:rsidR="00FC743E">
              <w:rPr>
                <w:sz w:val="20"/>
                <w:szCs w:val="20"/>
              </w:rPr>
              <w:t xml:space="preserve"> </w:t>
            </w:r>
            <w:r w:rsidRPr="0A6D973C">
              <w:rPr>
                <w:sz w:val="20"/>
                <w:szCs w:val="20"/>
              </w:rPr>
              <w:t xml:space="preserve">house </w:t>
            </w:r>
            <w:r>
              <w:rPr>
                <w:sz w:val="20"/>
                <w:szCs w:val="20"/>
              </w:rPr>
              <w:t>and garage/annex. Erection of 3</w:t>
            </w:r>
            <w:r w:rsidRPr="0A6D973C">
              <w:rPr>
                <w:sz w:val="20"/>
                <w:szCs w:val="20"/>
              </w:rPr>
              <w:t>x 5-bed dwelling</w:t>
            </w:r>
            <w:r w:rsidR="00FC743E">
              <w:rPr>
                <w:sz w:val="20"/>
                <w:szCs w:val="20"/>
              </w:rPr>
              <w:t xml:space="preserve"> </w:t>
            </w:r>
            <w:r w:rsidRPr="0A6D973C">
              <w:rPr>
                <w:sz w:val="20"/>
                <w:szCs w:val="20"/>
              </w:rPr>
              <w:t>houses.</w:t>
            </w:r>
          </w:p>
        </w:tc>
        <w:tc>
          <w:tcPr>
            <w:tcW w:w="2114" w:type="dxa"/>
            <w:gridSpan w:val="2"/>
          </w:tcPr>
          <w:p w14:paraId="1AE39D0B" w14:textId="2128881B" w:rsidR="000E1360" w:rsidRPr="0044772D" w:rsidRDefault="000E1360" w:rsidP="00485A40">
            <w:pPr>
              <w:jc w:val="center"/>
              <w:rPr>
                <w:sz w:val="20"/>
                <w:szCs w:val="18"/>
              </w:rPr>
            </w:pPr>
            <w:r w:rsidRPr="0044772D">
              <w:rPr>
                <w:sz w:val="20"/>
                <w:szCs w:val="18"/>
              </w:rPr>
              <w:t>Efficient use of land as density has not been maximised. Heritage assets and biodiversity issues too.</w:t>
            </w:r>
          </w:p>
        </w:tc>
      </w:tr>
      <w:tr w:rsidR="000E1360" w14:paraId="2C574B16" w14:textId="77777777" w:rsidTr="005B0995">
        <w:trPr>
          <w:jc w:val="center"/>
        </w:trPr>
        <w:tc>
          <w:tcPr>
            <w:tcW w:w="1415" w:type="dxa"/>
            <w:gridSpan w:val="2"/>
          </w:tcPr>
          <w:p w14:paraId="5C9D5CF2" w14:textId="77777777" w:rsidR="000E1360" w:rsidRPr="0044772D" w:rsidRDefault="000E1360" w:rsidP="00485A40">
            <w:pPr>
              <w:jc w:val="center"/>
              <w:rPr>
                <w:color w:val="000000"/>
                <w:sz w:val="20"/>
                <w:szCs w:val="18"/>
              </w:rPr>
            </w:pPr>
            <w:r w:rsidRPr="0044772D">
              <w:rPr>
                <w:color w:val="000000"/>
                <w:sz w:val="20"/>
                <w:szCs w:val="18"/>
              </w:rPr>
              <w:t>20/00693/FUL</w:t>
            </w:r>
          </w:p>
          <w:p w14:paraId="1C038EC7" w14:textId="77777777" w:rsidR="000E1360" w:rsidRPr="0044772D" w:rsidRDefault="000E1360" w:rsidP="00485A40">
            <w:pPr>
              <w:jc w:val="center"/>
              <w:rPr>
                <w:sz w:val="20"/>
                <w:szCs w:val="18"/>
              </w:rPr>
            </w:pPr>
          </w:p>
        </w:tc>
        <w:tc>
          <w:tcPr>
            <w:tcW w:w="1383" w:type="dxa"/>
            <w:gridSpan w:val="2"/>
          </w:tcPr>
          <w:p w14:paraId="4F891A1F" w14:textId="2AFA3393" w:rsidR="000E1360" w:rsidRPr="0044772D" w:rsidRDefault="000E1360" w:rsidP="00485A40">
            <w:pPr>
              <w:jc w:val="center"/>
              <w:rPr>
                <w:color w:val="000000"/>
                <w:sz w:val="20"/>
                <w:szCs w:val="18"/>
              </w:rPr>
            </w:pPr>
            <w:r w:rsidRPr="0044772D">
              <w:rPr>
                <w:color w:val="000000"/>
                <w:sz w:val="20"/>
                <w:szCs w:val="18"/>
              </w:rPr>
              <w:t>Land Adjacent 23A Westlands Drive Oxford Oxfordshire OX3 9QR</w:t>
            </w:r>
          </w:p>
          <w:p w14:paraId="59BBE915" w14:textId="77777777" w:rsidR="000E1360" w:rsidRPr="0044772D" w:rsidRDefault="000E1360" w:rsidP="00485A40">
            <w:pPr>
              <w:jc w:val="center"/>
              <w:rPr>
                <w:sz w:val="20"/>
                <w:szCs w:val="18"/>
              </w:rPr>
            </w:pPr>
          </w:p>
        </w:tc>
        <w:tc>
          <w:tcPr>
            <w:tcW w:w="1984" w:type="dxa"/>
            <w:gridSpan w:val="2"/>
          </w:tcPr>
          <w:p w14:paraId="18E9B1F5" w14:textId="77777777" w:rsidR="000E1360" w:rsidRPr="0044772D" w:rsidRDefault="000E1360" w:rsidP="00485A40">
            <w:pPr>
              <w:jc w:val="center"/>
              <w:rPr>
                <w:color w:val="000000"/>
                <w:sz w:val="20"/>
                <w:szCs w:val="18"/>
              </w:rPr>
            </w:pPr>
            <w:r w:rsidRPr="0044772D">
              <w:rPr>
                <w:color w:val="000000"/>
                <w:sz w:val="20"/>
                <w:szCs w:val="18"/>
              </w:rPr>
              <w:t xml:space="preserve">Erection of </w:t>
            </w:r>
            <w:r>
              <w:rPr>
                <w:color w:val="000000"/>
                <w:sz w:val="20"/>
                <w:szCs w:val="18"/>
              </w:rPr>
              <w:t>two storey building to create 2</w:t>
            </w:r>
            <w:r w:rsidRPr="0044772D">
              <w:rPr>
                <w:color w:val="000000"/>
                <w:sz w:val="20"/>
                <w:szCs w:val="18"/>
              </w:rPr>
              <w:t xml:space="preserve">x 1-bed </w:t>
            </w:r>
            <w:proofErr w:type="gramStart"/>
            <w:r w:rsidRPr="0044772D">
              <w:rPr>
                <w:color w:val="000000"/>
                <w:sz w:val="20"/>
                <w:szCs w:val="18"/>
              </w:rPr>
              <w:t xml:space="preserve">flats </w:t>
            </w:r>
            <w:r>
              <w:rPr>
                <w:color w:val="000000"/>
                <w:sz w:val="20"/>
                <w:szCs w:val="18"/>
              </w:rPr>
              <w:t>.</w:t>
            </w:r>
            <w:proofErr w:type="gramEnd"/>
          </w:p>
          <w:p w14:paraId="585CC9FC" w14:textId="77777777" w:rsidR="000E1360" w:rsidRPr="0044772D" w:rsidRDefault="000E1360" w:rsidP="00485A40">
            <w:pPr>
              <w:jc w:val="center"/>
              <w:rPr>
                <w:sz w:val="20"/>
                <w:szCs w:val="18"/>
              </w:rPr>
            </w:pPr>
          </w:p>
        </w:tc>
        <w:tc>
          <w:tcPr>
            <w:tcW w:w="2114" w:type="dxa"/>
            <w:gridSpan w:val="2"/>
          </w:tcPr>
          <w:p w14:paraId="7ABDBB69" w14:textId="5B9957FB" w:rsidR="000E1360" w:rsidRPr="0044772D" w:rsidRDefault="000E1360" w:rsidP="00485A40">
            <w:pPr>
              <w:jc w:val="center"/>
              <w:rPr>
                <w:color w:val="000000"/>
                <w:sz w:val="20"/>
                <w:szCs w:val="18"/>
              </w:rPr>
            </w:pPr>
            <w:r w:rsidRPr="0044772D">
              <w:rPr>
                <w:color w:val="000000"/>
                <w:sz w:val="20"/>
                <w:szCs w:val="18"/>
              </w:rPr>
              <w:t>Density issues that are not compatible with the site when considering density, scale and form. Other issues including character and appearance.</w:t>
            </w:r>
          </w:p>
          <w:p w14:paraId="5BCB9671" w14:textId="77777777" w:rsidR="000E1360" w:rsidRPr="0044772D" w:rsidRDefault="000E1360" w:rsidP="00485A40">
            <w:pPr>
              <w:jc w:val="center"/>
              <w:rPr>
                <w:sz w:val="20"/>
                <w:szCs w:val="18"/>
              </w:rPr>
            </w:pPr>
          </w:p>
        </w:tc>
      </w:tr>
    </w:tbl>
    <w:p w14:paraId="2BE86342" w14:textId="79158085" w:rsidR="000E1360" w:rsidRPr="00C01EF4" w:rsidRDefault="000E1360" w:rsidP="0040521B">
      <w:pPr>
        <w:spacing w:before="240"/>
        <w:jc w:val="center"/>
        <w:rPr>
          <w:b/>
          <w:bCs/>
          <w:sz w:val="20"/>
        </w:rPr>
      </w:pPr>
      <w:r w:rsidRPr="00C01EF4">
        <w:rPr>
          <w:b/>
          <w:bCs/>
          <w:sz w:val="20"/>
        </w:rPr>
        <w:t xml:space="preserve">Table </w:t>
      </w:r>
      <w:r w:rsidR="000109E8">
        <w:rPr>
          <w:b/>
          <w:bCs/>
          <w:sz w:val="20"/>
        </w:rPr>
        <w:t>20</w:t>
      </w:r>
      <w:r w:rsidRPr="00C01EF4">
        <w:rPr>
          <w:bCs/>
          <w:sz w:val="20"/>
        </w:rPr>
        <w:t xml:space="preserve">: Proposals refused citing conflict with the density targets set out in </w:t>
      </w:r>
      <w:r w:rsidR="00485A40">
        <w:rPr>
          <w:bCs/>
          <w:sz w:val="20"/>
        </w:rPr>
        <w:t xml:space="preserve">policy </w:t>
      </w:r>
      <w:r w:rsidRPr="00C01EF4">
        <w:rPr>
          <w:bCs/>
          <w:sz w:val="20"/>
        </w:rPr>
        <w:t>RE2 as one of the justifying reasons within the decision</w:t>
      </w:r>
    </w:p>
    <w:p w14:paraId="0367CF71" w14:textId="1B54A46A" w:rsidR="00E60902" w:rsidRDefault="000E1360" w:rsidP="0012069F">
      <w:pPr>
        <w:keepNext/>
        <w:numPr>
          <w:ilvl w:val="1"/>
          <w:numId w:val="11"/>
        </w:numPr>
        <w:spacing w:before="240" w:after="200" w:line="276" w:lineRule="auto"/>
        <w:ind w:left="567" w:hanging="567"/>
        <w:jc w:val="both"/>
      </w:pPr>
      <w:r w:rsidRPr="00B226D9">
        <w:t xml:space="preserve">Policy RE3 </w:t>
      </w:r>
      <w:r>
        <w:t xml:space="preserve">deals with the issue of flood risk.  26 applications were permitted comprising new structures being built, or extensions that would result in an increase in impermeable surfacing which fell in whole, or partially, within an area designated as flood zone 3. The majority of these (23) were some form of extension to an existing development; two involved demolitions to existing structures and replacement with another; whilst the other was for the installation of an underground 33kV electricity cable from National Grid </w:t>
      </w:r>
      <w:proofErr w:type="spellStart"/>
      <w:r>
        <w:t>Cowley</w:t>
      </w:r>
      <w:proofErr w:type="spellEnd"/>
      <w:r>
        <w:t xml:space="preserve"> substation to Redbridge Park and Ride and </w:t>
      </w:r>
      <w:proofErr w:type="spellStart"/>
      <w:r>
        <w:t>Horspath</w:t>
      </w:r>
      <w:proofErr w:type="spellEnd"/>
      <w:r>
        <w:t xml:space="preserve"> Road and the use of existing park and ride land for EV charging. All of the applications were accompanied by a site-specific Flood Risk Assessment</w:t>
      </w:r>
      <w:r w:rsidR="00485A40">
        <w:t xml:space="preserve"> (FRA)</w:t>
      </w:r>
      <w:r>
        <w:t xml:space="preserve">. </w:t>
      </w:r>
    </w:p>
    <w:p w14:paraId="38151887" w14:textId="2D924417" w:rsidR="00E60902" w:rsidRDefault="000E1360" w:rsidP="00E60902">
      <w:pPr>
        <w:keepNext/>
        <w:numPr>
          <w:ilvl w:val="1"/>
          <w:numId w:val="11"/>
        </w:numPr>
        <w:spacing w:before="240" w:after="200" w:line="276" w:lineRule="auto"/>
        <w:ind w:left="567" w:hanging="567"/>
        <w:jc w:val="both"/>
      </w:pPr>
      <w:r>
        <w:t>There were two proposals for development within flood zones (both within flood zone 3) which were refused permission with policy RE3 comprising one of the reasons for refusal. One proposal, 19/02578/OUT, was refused because the development comprised of more vulnerable development within an area designated as falling within Flood Zone 3b (functional flood plain).  The other application, 20/01156/FUL, was refused because it was situated in a high flood risk area and was again for a more vulnerable use and the application was deficient in its failure to provide a comprehensive flood warning and evacuation plan.</w:t>
      </w:r>
    </w:p>
    <w:p w14:paraId="5B58D449" w14:textId="1ED61751" w:rsidR="00E60902" w:rsidRDefault="000E1360" w:rsidP="00E60902">
      <w:pPr>
        <w:keepNext/>
        <w:numPr>
          <w:ilvl w:val="1"/>
          <w:numId w:val="11"/>
        </w:numPr>
        <w:spacing w:before="240" w:after="200" w:line="276" w:lineRule="auto"/>
        <w:ind w:left="567" w:hanging="567"/>
        <w:jc w:val="both"/>
      </w:pPr>
      <w:r>
        <w:t xml:space="preserve">Policy RE3 sets out that, due to the fact that even minor household extensions can have a cumulative impact resulting in increased flood risk, extensions in either flood zones 2 or </w:t>
      </w:r>
      <w:r w:rsidR="00485A40">
        <w:t>3 will require a site-specific FRA</w:t>
      </w:r>
      <w:r>
        <w:t>. During the monitoring period all of the applicable permissions for extensions which fell within flood zones 2 or 3 completed the necessary F</w:t>
      </w:r>
      <w:r w:rsidR="00485A40">
        <w:t>RA</w:t>
      </w:r>
      <w:r>
        <w:t>.</w:t>
      </w:r>
    </w:p>
    <w:p w14:paraId="36AB7F1A" w14:textId="4B552834" w:rsidR="00EE1214" w:rsidRDefault="000E1360" w:rsidP="00EE1214">
      <w:pPr>
        <w:keepNext/>
        <w:numPr>
          <w:ilvl w:val="1"/>
          <w:numId w:val="11"/>
        </w:numPr>
        <w:spacing w:before="240" w:after="200" w:line="276" w:lineRule="auto"/>
        <w:ind w:left="567" w:hanging="567"/>
        <w:jc w:val="both"/>
      </w:pPr>
      <w:r>
        <w:t>There were no applications permitted which went against outstanding objections from the E</w:t>
      </w:r>
      <w:r w:rsidR="00485A40">
        <w:t>A</w:t>
      </w:r>
      <w:r>
        <w:t>, according to the EA’s monitoring data</w:t>
      </w:r>
      <w:r w:rsidRPr="00B31179">
        <w:rPr>
          <w:vertAlign w:val="superscript"/>
        </w:rPr>
        <w:footnoteReference w:id="10"/>
      </w:r>
      <w:r>
        <w:t xml:space="preserve"> for the 2020-21 period.</w:t>
      </w:r>
    </w:p>
    <w:p w14:paraId="5F054674" w14:textId="15D4C2C9" w:rsidR="00E60902" w:rsidRDefault="000E1360" w:rsidP="00E60902">
      <w:pPr>
        <w:keepNext/>
        <w:numPr>
          <w:ilvl w:val="1"/>
          <w:numId w:val="11"/>
        </w:numPr>
        <w:spacing w:before="240" w:after="200" w:line="276" w:lineRule="auto"/>
        <w:ind w:left="567" w:hanging="567"/>
        <w:jc w:val="both"/>
      </w:pPr>
      <w:r w:rsidRPr="00B226D9">
        <w:t>Policy RE4</w:t>
      </w:r>
      <w:r>
        <w:t xml:space="preserve"> requires all development proposals to manage surface water through Sustainable Drainage Systems (</w:t>
      </w:r>
      <w:proofErr w:type="spellStart"/>
      <w:r>
        <w:t>SuDS</w:t>
      </w:r>
      <w:proofErr w:type="spellEnd"/>
      <w:r>
        <w:t xml:space="preserve">) or techniques to limit run-off and reduce the existing rate of run-off on previously developed sites. There were six applications refused with policy RE4 serving, in </w:t>
      </w:r>
      <w:r>
        <w:lastRenderedPageBreak/>
        <w:t>part, as grounds for refusal, these are set out below along with the reasoning for why they did not meet policy RE4’s requirements:</w:t>
      </w:r>
    </w:p>
    <w:tbl>
      <w:tblPr>
        <w:tblW w:w="75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4"/>
        <w:gridCol w:w="1500"/>
        <w:gridCol w:w="2268"/>
        <w:gridCol w:w="2268"/>
      </w:tblGrid>
      <w:tr w:rsidR="000E1360" w:rsidRPr="00234F34" w14:paraId="678D5F70" w14:textId="77777777" w:rsidTr="005B0995">
        <w:trPr>
          <w:jc w:val="center"/>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4D672DE1" w14:textId="56457D76"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b/>
                <w:bCs/>
                <w:lang w:eastAsia="en-GB"/>
              </w:rPr>
              <w:t>Application</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A57DE5E" w14:textId="42EAEDC6"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b/>
                <w:bCs/>
                <w:lang w:eastAsia="en-GB"/>
              </w:rPr>
              <w:t>Address</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67FA7684" w14:textId="49B09541"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b/>
                <w:bCs/>
                <w:lang w:eastAsia="en-GB"/>
              </w:rPr>
              <w:t>Proposal</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EA192E7" w14:textId="165AADAA"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b/>
                <w:bCs/>
                <w:lang w:eastAsia="en-GB"/>
              </w:rPr>
              <w:t>Details of conflict with RE4</w:t>
            </w:r>
          </w:p>
        </w:tc>
      </w:tr>
      <w:tr w:rsidR="000E1360" w:rsidRPr="00234F34" w14:paraId="13959A33" w14:textId="77777777" w:rsidTr="005B0995">
        <w:trPr>
          <w:jc w:val="center"/>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35933C61" w14:textId="2FC51E70"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19/02366/OUT*</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C803645" w14:textId="382D73B2"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472-474 Banbury Road Oxford OX2 7RG</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DAED787" w14:textId="42BC58AB"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Outline application for the demolition of two existing dwellings and erection of one four storey building and one two storey building for school boarding accommodation.</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78EFD3C" w14:textId="4EA26C44"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The application failed to provide a Surface Water Management Strategy to enable the Local Planning Authority to fully assess the drainage proposals for this major development.</w:t>
            </w:r>
          </w:p>
        </w:tc>
      </w:tr>
      <w:tr w:rsidR="000E1360" w:rsidRPr="00234F34" w14:paraId="3554ECE7" w14:textId="77777777" w:rsidTr="005B0995">
        <w:trPr>
          <w:jc w:val="center"/>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6D49613A" w14:textId="482045DE"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19/02578/OUT</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323F1F2" w14:textId="19253556"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Land at 281 Abingdon Road Oxford Oxfordshire OX1 4US</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5059EC5" w14:textId="437BD5FF"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Outline application for the redevelopment of site to provide residential building containing 9 apartments.</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43A8947A" w14:textId="00CD627F"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Proposal would place future occupiers at an unacceptable risk of flooding and would result in a reduction in flood storage, which would increase the existing risk of flooding.</w:t>
            </w:r>
          </w:p>
        </w:tc>
      </w:tr>
      <w:tr w:rsidR="000E1360" w:rsidRPr="00234F34" w14:paraId="62CCAA9D" w14:textId="77777777" w:rsidTr="005B0995">
        <w:trPr>
          <w:jc w:val="center"/>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161138EE" w14:textId="624840DB"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20/00970/FUL</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DC1C23A" w14:textId="08ECFD89"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18 Victoria Road Oxford Oxfordshire OX2 7QD</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7D44F4A5" w14:textId="06C725E6"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Erection of 1 x 4-bed dwelling (Use Class C3).</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596A6C61" w14:textId="210593B7"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Application was not accompanied by the necessary information on how the site is to be drained using Sustainable Drainage Systems.</w:t>
            </w:r>
          </w:p>
        </w:tc>
      </w:tr>
      <w:tr w:rsidR="000E1360" w:rsidRPr="00234F34" w14:paraId="5ABA2A1C" w14:textId="77777777" w:rsidTr="005B0995">
        <w:trPr>
          <w:jc w:val="center"/>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60BA4005" w14:textId="31DF8279"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7A04C4E7">
              <w:rPr>
                <w:rFonts w:ascii="Calibri" w:eastAsia="Times New Roman" w:hAnsi="Calibri" w:cs="Calibri"/>
                <w:sz w:val="18"/>
                <w:szCs w:val="18"/>
                <w:lang w:eastAsia="en-GB"/>
              </w:rPr>
              <w:t>20/01449/FUL</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436EABD" w14:textId="6E009EEE"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3 The Slade Oxford Oxfordshire OX3 7HL</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29D83638" w14:textId="28DE0D4B"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 xml:space="preserve">Conversion of existing outbuilding into a </w:t>
            </w:r>
            <w:proofErr w:type="spellStart"/>
            <w:r w:rsidRPr="00234F34">
              <w:rPr>
                <w:rFonts w:ascii="Calibri" w:eastAsia="Times New Roman" w:hAnsi="Calibri" w:cs="Calibri"/>
                <w:sz w:val="18"/>
                <w:szCs w:val="18"/>
                <w:lang w:eastAsia="en-GB"/>
              </w:rPr>
              <w:t>self contained</w:t>
            </w:r>
            <w:proofErr w:type="spellEnd"/>
            <w:r w:rsidRPr="00234F34">
              <w:rPr>
                <w:rFonts w:ascii="Calibri" w:eastAsia="Times New Roman" w:hAnsi="Calibri" w:cs="Calibri"/>
                <w:sz w:val="18"/>
                <w:szCs w:val="18"/>
                <w:lang w:eastAsia="en-GB"/>
              </w:rPr>
              <w:t xml:space="preserve"> 1 x 1-bed dwelling (Use Class C3). (Retrospective).</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66A4C8D9" w14:textId="69B0C166"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Fails to address how surface water drainage would be dealt with to ensure that harm would not be caused to the Lye Valley SSSI</w:t>
            </w:r>
          </w:p>
        </w:tc>
      </w:tr>
      <w:tr w:rsidR="000E1360" w:rsidRPr="00234F34" w14:paraId="0C62E1FF" w14:textId="77777777" w:rsidTr="005B0995">
        <w:trPr>
          <w:jc w:val="center"/>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32EE68FC" w14:textId="3CF84703"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20/02079/FUL</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F3E6C33" w14:textId="1BC91994"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25 Wolsey Road Oxford OX2 7TA</w:t>
            </w:r>
          </w:p>
          <w:p w14:paraId="18C9ECDF" w14:textId="0CE7144B"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1590E2BC" w14:textId="18022657"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Erection of a two storey building to create a 1 x 1-bed dwelling (Use Class C3).</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7256F0DA" w14:textId="258587B6"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Application was not accompanied by the necessary information on how the site is to be drained using Sustainable Drainage Systems.</w:t>
            </w:r>
          </w:p>
        </w:tc>
      </w:tr>
      <w:tr w:rsidR="000E1360" w:rsidRPr="00234F34" w14:paraId="5D1BD192" w14:textId="77777777" w:rsidTr="005B0995">
        <w:trPr>
          <w:jc w:val="center"/>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48849E6C" w14:textId="0EB41C20"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20/02516/FUL</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2BE6436" w14:textId="2EA7A449"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1 Turner Close Oxford OX4 2UA</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7D173053" w14:textId="5C9963B8"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Demolition of existing single storey side extension. Erection of a two storey building to create a 1 x1-bed dwelling</w:t>
            </w:r>
            <w:r w:rsidR="00FC743E">
              <w:rPr>
                <w:rFonts w:ascii="Calibri" w:eastAsia="Times New Roman" w:hAnsi="Calibri" w:cs="Calibri"/>
                <w:sz w:val="18"/>
                <w:szCs w:val="18"/>
                <w:lang w:eastAsia="en-GB"/>
              </w:rPr>
              <w:t xml:space="preserve"> </w:t>
            </w:r>
            <w:r w:rsidRPr="00234F34">
              <w:rPr>
                <w:rFonts w:ascii="Calibri" w:eastAsia="Times New Roman" w:hAnsi="Calibri" w:cs="Calibri"/>
                <w:sz w:val="18"/>
                <w:szCs w:val="18"/>
                <w:lang w:eastAsia="en-GB"/>
              </w:rPr>
              <w:t>house (Use Class C3).</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7DA5CFA4" w14:textId="382A723D" w:rsidR="000E1360" w:rsidRPr="00234F34" w:rsidRDefault="000E1360" w:rsidP="00485A40">
            <w:pPr>
              <w:spacing w:after="0" w:line="240" w:lineRule="auto"/>
              <w:jc w:val="center"/>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sz w:val="18"/>
                <w:szCs w:val="18"/>
                <w:lang w:eastAsia="en-GB"/>
              </w:rPr>
              <w:t>In the absence of any details of proposed drainage, the proposal fails to demonstrate that it would not result in increased flood risk or harm to the integrity of the Lye Valley SSSI.</w:t>
            </w:r>
          </w:p>
        </w:tc>
      </w:tr>
      <w:tr w:rsidR="000E1360" w:rsidRPr="00234F34" w14:paraId="313BB808" w14:textId="77777777" w:rsidTr="005B0995">
        <w:trPr>
          <w:gridAfter w:val="3"/>
          <w:wAfter w:w="6036" w:type="dxa"/>
          <w:jc w:val="center"/>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0F43A5C9" w14:textId="77777777" w:rsidR="000E1360" w:rsidRPr="00234F34" w:rsidRDefault="000E1360" w:rsidP="00AE463D">
            <w:pPr>
              <w:spacing w:after="0" w:line="240" w:lineRule="auto"/>
              <w:textAlignment w:val="baseline"/>
              <w:rPr>
                <w:rFonts w:ascii="Times New Roman" w:eastAsia="Times New Roman" w:hAnsi="Times New Roman" w:cs="Times New Roman"/>
                <w:sz w:val="24"/>
                <w:szCs w:val="24"/>
                <w:lang w:eastAsia="en-GB"/>
              </w:rPr>
            </w:pPr>
            <w:r w:rsidRPr="00234F34">
              <w:rPr>
                <w:rFonts w:ascii="Calibri" w:eastAsia="Times New Roman" w:hAnsi="Calibri" w:cs="Calibri"/>
                <w:b/>
                <w:bCs/>
                <w:i/>
                <w:iCs/>
                <w:sz w:val="18"/>
                <w:szCs w:val="18"/>
                <w:lang w:eastAsia="en-GB"/>
              </w:rPr>
              <w:t>*</w:t>
            </w:r>
            <w:r w:rsidRPr="00234F34">
              <w:rPr>
                <w:rFonts w:ascii="Calibri" w:eastAsia="Times New Roman" w:hAnsi="Calibri" w:cs="Calibri"/>
                <w:i/>
                <w:iCs/>
                <w:sz w:val="18"/>
                <w:szCs w:val="18"/>
                <w:lang w:eastAsia="en-GB"/>
              </w:rPr>
              <w:t>RE4 was an emerging policy at time of decision </w:t>
            </w:r>
            <w:r w:rsidRPr="00234F34">
              <w:rPr>
                <w:rFonts w:ascii="Calibri" w:eastAsia="Times New Roman" w:hAnsi="Calibri" w:cs="Calibri"/>
                <w:sz w:val="18"/>
                <w:szCs w:val="18"/>
                <w:lang w:eastAsia="en-GB"/>
              </w:rPr>
              <w:t> </w:t>
            </w:r>
          </w:p>
        </w:tc>
      </w:tr>
    </w:tbl>
    <w:p w14:paraId="0BC18552" w14:textId="49F23FE4" w:rsidR="000E1360" w:rsidRPr="00C01EF4" w:rsidRDefault="000E1360" w:rsidP="0040521B">
      <w:pPr>
        <w:spacing w:before="240" w:after="0" w:line="240" w:lineRule="auto"/>
        <w:jc w:val="center"/>
        <w:textAlignment w:val="baseline"/>
        <w:rPr>
          <w:rFonts w:ascii="Segoe UI" w:eastAsia="Times New Roman" w:hAnsi="Segoe UI" w:cs="Segoe UI"/>
          <w:sz w:val="16"/>
          <w:szCs w:val="18"/>
          <w:lang w:eastAsia="en-GB"/>
        </w:rPr>
      </w:pPr>
      <w:r w:rsidRPr="00C01EF4">
        <w:rPr>
          <w:rFonts w:ascii="Calibri" w:eastAsia="Times New Roman" w:hAnsi="Calibri" w:cs="Calibri"/>
          <w:b/>
          <w:bCs/>
          <w:sz w:val="20"/>
          <w:lang w:eastAsia="en-GB"/>
        </w:rPr>
        <w:t xml:space="preserve">Table </w:t>
      </w:r>
      <w:r w:rsidR="000109E8">
        <w:rPr>
          <w:rFonts w:ascii="Calibri" w:eastAsia="Times New Roman" w:hAnsi="Calibri" w:cs="Calibri"/>
          <w:b/>
          <w:bCs/>
          <w:sz w:val="20"/>
          <w:lang w:eastAsia="en-GB"/>
        </w:rPr>
        <w:t>21</w:t>
      </w:r>
      <w:r w:rsidRPr="00C01EF4">
        <w:rPr>
          <w:rFonts w:ascii="Calibri" w:eastAsia="Times New Roman" w:hAnsi="Calibri" w:cs="Calibri"/>
          <w:bCs/>
          <w:sz w:val="20"/>
          <w:lang w:eastAsia="en-GB"/>
        </w:rPr>
        <w:t>: Applications refused with policy RE4 forming one of the reasons of justification in the decision notice.</w:t>
      </w:r>
      <w:r w:rsidRPr="00C01EF4">
        <w:rPr>
          <w:rFonts w:ascii="Calibri" w:eastAsia="Times New Roman" w:hAnsi="Calibri" w:cs="Calibri"/>
          <w:sz w:val="20"/>
          <w:lang w:eastAsia="en-GB"/>
        </w:rPr>
        <w:t> </w:t>
      </w:r>
    </w:p>
    <w:p w14:paraId="41A1372D" w14:textId="1306F68E" w:rsidR="00E60902" w:rsidRDefault="000E1360" w:rsidP="0012069F">
      <w:pPr>
        <w:keepNext/>
        <w:numPr>
          <w:ilvl w:val="1"/>
          <w:numId w:val="11"/>
        </w:numPr>
        <w:spacing w:before="240" w:after="200" w:line="276" w:lineRule="auto"/>
        <w:ind w:left="567" w:hanging="567"/>
        <w:jc w:val="both"/>
      </w:pPr>
      <w:r w:rsidRPr="00B226D9">
        <w:t>Policy RE6</w:t>
      </w:r>
      <w:r>
        <w:t xml:space="preserve"> seeks to ensure that planning permission is only granted where the impact of new development on air quality is mitigated and where exposure to poor air quality is minimised or reduced. Policy RE6 sets out expectations for how issues of air quality ought to be addressed in proposals, this includes the requirement that planning applications for major development must be accompanied by an Air Quality Assessment (AQA).</w:t>
      </w:r>
    </w:p>
    <w:p w14:paraId="2F7538E5" w14:textId="089E72A7" w:rsidR="000E1360" w:rsidRPr="0040521B" w:rsidRDefault="000E1360" w:rsidP="0012069F">
      <w:pPr>
        <w:keepNext/>
        <w:numPr>
          <w:ilvl w:val="1"/>
          <w:numId w:val="11"/>
        </w:numPr>
        <w:spacing w:before="240" w:after="200" w:line="276" w:lineRule="auto"/>
        <w:ind w:left="567" w:hanging="567"/>
        <w:jc w:val="both"/>
      </w:pPr>
      <w:r>
        <w:t xml:space="preserve">In the 2020/21 monitoring period, all relevant planning applications were accompanied by an AQA. These would have been reviewed by the relevant air quality specialist as part of the decision-making process before the application was determined. The Council has also published </w:t>
      </w:r>
      <w:r>
        <w:lastRenderedPageBreak/>
        <w:t>several studies/reports during the 2020/21 monitoring period which monitor and address air quality in more detail</w:t>
      </w:r>
      <w:r w:rsidRPr="0012069F">
        <w:rPr>
          <w:vertAlign w:val="superscript"/>
        </w:rPr>
        <w:footnoteReference w:id="11"/>
      </w:r>
      <w:bookmarkStart w:id="52" w:name="_Toc86400473"/>
      <w:r w:rsidR="0040521B">
        <w:t>.</w:t>
      </w:r>
    </w:p>
    <w:p w14:paraId="3F147817" w14:textId="77777777" w:rsidR="000E1360" w:rsidRPr="001A1FBF" w:rsidRDefault="000E1360" w:rsidP="001A1FBF">
      <w:pPr>
        <w:pStyle w:val="Heading2"/>
      </w:pPr>
      <w:bookmarkStart w:id="53" w:name="_Toc88135868"/>
      <w:r w:rsidRPr="001A1FBF">
        <w:t>Green and Blue Infrastructure Network</w:t>
      </w:r>
      <w:bookmarkEnd w:id="52"/>
      <w:bookmarkEnd w:id="53"/>
    </w:p>
    <w:p w14:paraId="0F4FEE77" w14:textId="60C9CC7B" w:rsidR="000E1360" w:rsidRDefault="000E1360" w:rsidP="0012069F">
      <w:pPr>
        <w:keepNext/>
        <w:numPr>
          <w:ilvl w:val="1"/>
          <w:numId w:val="11"/>
        </w:numPr>
        <w:spacing w:before="240" w:after="200" w:line="276" w:lineRule="auto"/>
        <w:ind w:left="567" w:hanging="567"/>
        <w:jc w:val="both"/>
      </w:pPr>
      <w:r>
        <w:t xml:space="preserve">The Oxford Local Plan 2036 contains a range of policies that are intended to protect various components of the city’s green and blue infrastructure network. This network of protection is presented in Figure </w:t>
      </w:r>
      <w:r w:rsidR="000109E8">
        <w:t>10</w:t>
      </w:r>
      <w:r>
        <w:t xml:space="preserve"> and any relevant news regarding their monitoring over the 20-21 period is discussed in turn after.</w:t>
      </w:r>
    </w:p>
    <w:p w14:paraId="087BF21F" w14:textId="77777777" w:rsidR="000E1360" w:rsidRDefault="000E1360" w:rsidP="005B0995">
      <w:pPr>
        <w:jc w:val="center"/>
      </w:pPr>
      <w:r w:rsidRPr="00166C72">
        <w:rPr>
          <w:i/>
          <w:noProof/>
          <w:lang w:eastAsia="en-GB"/>
        </w:rPr>
        <w:drawing>
          <wp:inline distT="0" distB="0" distL="0" distR="0" wp14:anchorId="346B0B7C" wp14:editId="258A4061">
            <wp:extent cx="3780000" cy="523581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80000" cy="5235811"/>
                    </a:xfrm>
                    <a:prstGeom prst="rect">
                      <a:avLst/>
                    </a:prstGeom>
                  </pic:spPr>
                </pic:pic>
              </a:graphicData>
            </a:graphic>
          </wp:inline>
        </w:drawing>
      </w:r>
    </w:p>
    <w:p w14:paraId="16044D28" w14:textId="6074E6AD" w:rsidR="000E1360" w:rsidRPr="00C01EF4" w:rsidRDefault="000E1360" w:rsidP="0040521B">
      <w:pPr>
        <w:spacing w:before="240"/>
        <w:jc w:val="center"/>
        <w:rPr>
          <w:b/>
          <w:bCs/>
          <w:sz w:val="20"/>
          <w:szCs w:val="20"/>
        </w:rPr>
      </w:pPr>
      <w:r w:rsidRPr="00C01EF4">
        <w:rPr>
          <w:b/>
          <w:bCs/>
          <w:sz w:val="20"/>
          <w:szCs w:val="20"/>
        </w:rPr>
        <w:t xml:space="preserve">Figure </w:t>
      </w:r>
      <w:r w:rsidR="000109E8">
        <w:rPr>
          <w:b/>
          <w:bCs/>
          <w:sz w:val="20"/>
          <w:szCs w:val="20"/>
        </w:rPr>
        <w:t>10</w:t>
      </w:r>
      <w:r w:rsidR="00DE52E5" w:rsidRPr="00C01EF4">
        <w:rPr>
          <w:b/>
          <w:bCs/>
          <w:sz w:val="20"/>
          <w:szCs w:val="20"/>
        </w:rPr>
        <w:t xml:space="preserve">: </w:t>
      </w:r>
      <w:r w:rsidRPr="00C01EF4">
        <w:rPr>
          <w:bCs/>
          <w:sz w:val="20"/>
          <w:szCs w:val="20"/>
        </w:rPr>
        <w:t>Oxford’s green and blue infrastructure network as designated via Local Plan policies G1 – G5</w:t>
      </w:r>
    </w:p>
    <w:p w14:paraId="39890448" w14:textId="5B98122B" w:rsidR="00E60902" w:rsidRDefault="000E1360" w:rsidP="0012069F">
      <w:pPr>
        <w:keepNext/>
        <w:numPr>
          <w:ilvl w:val="1"/>
          <w:numId w:val="11"/>
        </w:numPr>
        <w:spacing w:before="240" w:after="200" w:line="276" w:lineRule="auto"/>
        <w:ind w:left="567" w:hanging="567"/>
        <w:jc w:val="both"/>
      </w:pPr>
      <w:r>
        <w:t>Policy G2 sets out that sites and species important for biodiversity and geodiversity will be protected and a requirement for biodiversity net gain.</w:t>
      </w:r>
      <w:r w:rsidR="4F1F373D">
        <w:t xml:space="preserve"> There are no notable changes to the extent of designated sites in the city to report upon in this AMR and most recent data can be found in last year’s report.</w:t>
      </w:r>
      <w:r>
        <w:t xml:space="preserve">  During the 2020/21 monitoring period, there were no permissions </w:t>
      </w:r>
      <w:r>
        <w:lastRenderedPageBreak/>
        <w:t>for development on the ecological sites protected through policy G2. There were six major applications which were refused at least in part due to failure to comply with policy G2. Typically</w:t>
      </w:r>
      <w:r w:rsidR="176E7079">
        <w:t>,</w:t>
      </w:r>
      <w:r>
        <w:t xml:space="preserve"> this was due to a lack of ecological assessment information being provided to allow for consideration of biodiversity impacts. Two of the six refusals specifically cited a failure to demonstrate that they would not result in harm to the Lye Valley SSSI as a result of changes in quantity/quality of groundwater flows or surface water runoff (applications 20/01449/FUL and 20/02516/FUL). One of the others, application 19/03223/FUL, cited failure to demonstrate that the scheme would not result in harm to known protected species on site, as well as significant net loss of trees and failure to demonstrate net gain.</w:t>
      </w:r>
    </w:p>
    <w:p w14:paraId="6422D5B2" w14:textId="316B3E9E" w:rsidR="00E60902" w:rsidRDefault="000E1360" w:rsidP="00E60902">
      <w:pPr>
        <w:keepNext/>
        <w:numPr>
          <w:ilvl w:val="1"/>
          <w:numId w:val="11"/>
        </w:numPr>
        <w:spacing w:before="240" w:after="200" w:line="276" w:lineRule="auto"/>
        <w:ind w:left="567" w:hanging="567"/>
        <w:jc w:val="both"/>
      </w:pPr>
      <w:r>
        <w:t>Policy G2 also requires that</w:t>
      </w:r>
      <w:r w:rsidR="00485A40">
        <w:t xml:space="preserve"> for</w:t>
      </w:r>
      <w:r>
        <w:t xml:space="preserve"> major developments proposed on greenfield sites or brownfield sites that have become vegetated, a biodiversity net gain of 5% should be demonstrated through use of a recognised biodiversity calculator. This is a new policy and therefore there are few cases to report on in this monitoring period as such schemes take longer to develop and determine.  There are however some good examples of how this policy is starting to result in net gain</w:t>
      </w:r>
      <w:r w:rsidR="2BCC89BE">
        <w:t>, for example, a</w:t>
      </w:r>
      <w:r w:rsidR="2BCC89BE" w:rsidRPr="00D47ADF">
        <w:t>pplication 20/00116/FUL which was for the erection of 7 three storey buildings and alterations to Fairfield House, Banbury Road to form new student bedrooms/flats. The application was accompanied by a biodiversity calculator which ultimately demonstrated a net gain in biodiversity of 16.77% as a result of the mitigating planting proposed, which exceeded the 5% net gain requirement.</w:t>
      </w:r>
    </w:p>
    <w:p w14:paraId="64488535" w14:textId="59C2E139" w:rsidR="00E60902" w:rsidRPr="0012069F" w:rsidRDefault="000E1360" w:rsidP="0012069F">
      <w:pPr>
        <w:keepNext/>
        <w:numPr>
          <w:ilvl w:val="1"/>
          <w:numId w:val="11"/>
        </w:numPr>
        <w:spacing w:before="240" w:after="200" w:line="276" w:lineRule="auto"/>
        <w:ind w:left="567" w:hanging="567"/>
        <w:jc w:val="both"/>
      </w:pPr>
      <w:r w:rsidRPr="0012069F">
        <w:t xml:space="preserve">Policy G4 addresses the Green Belt.  There were two applications permitted within the green belt during the 2020/21 monitoring period, the first was application 19/03341/FUL, although the application was determined against the previous Local Plan policy CS4 due to timing of the decision. The proposal was at the Keble College Boat Club and was for the demolition of an existing timber shed and concrete boat shed and the erection of a new single storey boat shed with toilet and kitchen facilities to the north. The other application was 20/02433/FUL, which was for the installation of a caged cricket practice area at </w:t>
      </w:r>
      <w:proofErr w:type="spellStart"/>
      <w:r w:rsidRPr="0012069F">
        <w:t>Cutteslowe</w:t>
      </w:r>
      <w:proofErr w:type="spellEnd"/>
      <w:r w:rsidRPr="0012069F">
        <w:t xml:space="preserve"> Park. Both applications were approved as they were determined to be acceptable in terms of their impact on the green belt as they constituted the erection of appropriate facilities in connection with the existing use of land for outdoor sport which falls within </w:t>
      </w:r>
      <w:proofErr w:type="spellStart"/>
      <w:r w:rsidR="00D97152" w:rsidRPr="0012069F">
        <w:rPr>
          <w:i/>
        </w:rPr>
        <w:t>within</w:t>
      </w:r>
      <w:proofErr w:type="spellEnd"/>
      <w:r w:rsidR="00D97152" w:rsidRPr="0012069F">
        <w:t xml:space="preserve"> one of the exceptions set out in the</w:t>
      </w:r>
      <w:r w:rsidR="00D97152" w:rsidRPr="0012069F">
        <w:rPr>
          <w:i/>
        </w:rPr>
        <w:t xml:space="preserve"> NPPF</w:t>
      </w:r>
      <w:r w:rsidR="00D97152" w:rsidRPr="0012069F">
        <w:t>.</w:t>
      </w:r>
    </w:p>
    <w:p w14:paraId="73DD756D" w14:textId="6864D3FD" w:rsidR="00E60902" w:rsidRDefault="000E1360" w:rsidP="00E60902">
      <w:pPr>
        <w:keepNext/>
        <w:numPr>
          <w:ilvl w:val="1"/>
          <w:numId w:val="11"/>
        </w:numPr>
        <w:spacing w:before="240" w:after="200" w:line="276" w:lineRule="auto"/>
        <w:ind w:left="567" w:hanging="567"/>
        <w:jc w:val="both"/>
      </w:pPr>
      <w:r w:rsidRPr="00B226D9">
        <w:t>Policy G4</w:t>
      </w:r>
      <w:r>
        <w:t xml:space="preserve"> relates to allotments.  There was no significant monitoring news to report in relation to allotments which are the subject of policy G4; there were no applications that impacted on these areas of the city during the monitoring period.</w:t>
      </w:r>
    </w:p>
    <w:p w14:paraId="094CDDFA" w14:textId="4CFE0384" w:rsidR="000E1360" w:rsidRDefault="000E1360" w:rsidP="0012069F">
      <w:pPr>
        <w:keepNext/>
        <w:numPr>
          <w:ilvl w:val="1"/>
          <w:numId w:val="11"/>
        </w:numPr>
        <w:spacing w:before="240" w:after="200" w:line="276" w:lineRule="auto"/>
        <w:ind w:left="567" w:hanging="567"/>
        <w:jc w:val="both"/>
      </w:pPr>
      <w:r>
        <w:t xml:space="preserve">Policy G5 deals with open space, outdoor sports and recreation.  There were four permissions of relevance which were found to be in accordance with the policy during the 2020/21 monitoring period and these are listed in </w:t>
      </w:r>
      <w:r w:rsidR="5C765172">
        <w:t>T</w:t>
      </w:r>
      <w:r>
        <w:t xml:space="preserve">able </w:t>
      </w:r>
      <w:r w:rsidR="00485A40">
        <w:t>2</w:t>
      </w:r>
      <w:r w:rsidR="000109E8">
        <w:t>2</w:t>
      </w:r>
      <w:r>
        <w:t>.</w:t>
      </w:r>
    </w:p>
    <w:tbl>
      <w:tblPr>
        <w:tblStyle w:val="TableGrid"/>
        <w:tblW w:w="0" w:type="auto"/>
        <w:jc w:val="center"/>
        <w:tblLook w:val="04A0" w:firstRow="1" w:lastRow="0" w:firstColumn="1" w:lastColumn="0" w:noHBand="0" w:noVBand="1"/>
      </w:tblPr>
      <w:tblGrid>
        <w:gridCol w:w="1268"/>
        <w:gridCol w:w="1361"/>
        <w:gridCol w:w="2268"/>
        <w:gridCol w:w="2835"/>
      </w:tblGrid>
      <w:tr w:rsidR="000E1360" w:rsidRPr="00F55665" w14:paraId="73D56535" w14:textId="77777777" w:rsidTr="005B0995">
        <w:trPr>
          <w:jc w:val="center"/>
        </w:trPr>
        <w:tc>
          <w:tcPr>
            <w:tcW w:w="1268" w:type="dxa"/>
          </w:tcPr>
          <w:p w14:paraId="64EC722C" w14:textId="77777777" w:rsidR="000E1360" w:rsidRPr="00485A40" w:rsidRDefault="000E1360" w:rsidP="005B0995">
            <w:pPr>
              <w:jc w:val="center"/>
              <w:rPr>
                <w:b/>
                <w:sz w:val="18"/>
                <w:szCs w:val="18"/>
              </w:rPr>
            </w:pPr>
            <w:r w:rsidRPr="00485A40">
              <w:rPr>
                <w:b/>
                <w:sz w:val="18"/>
                <w:szCs w:val="18"/>
              </w:rPr>
              <w:t>Application</w:t>
            </w:r>
          </w:p>
        </w:tc>
        <w:tc>
          <w:tcPr>
            <w:tcW w:w="1361" w:type="dxa"/>
          </w:tcPr>
          <w:p w14:paraId="5DE4DE38" w14:textId="77777777" w:rsidR="000E1360" w:rsidRPr="00485A40" w:rsidRDefault="000E1360" w:rsidP="005B0995">
            <w:pPr>
              <w:jc w:val="center"/>
              <w:rPr>
                <w:b/>
                <w:sz w:val="18"/>
                <w:szCs w:val="18"/>
              </w:rPr>
            </w:pPr>
            <w:r w:rsidRPr="00485A40">
              <w:rPr>
                <w:b/>
                <w:sz w:val="18"/>
                <w:szCs w:val="18"/>
              </w:rPr>
              <w:t>Address</w:t>
            </w:r>
          </w:p>
        </w:tc>
        <w:tc>
          <w:tcPr>
            <w:tcW w:w="2268" w:type="dxa"/>
          </w:tcPr>
          <w:p w14:paraId="302DFB30" w14:textId="77777777" w:rsidR="000E1360" w:rsidRPr="00485A40" w:rsidRDefault="000E1360" w:rsidP="005B0995">
            <w:pPr>
              <w:jc w:val="center"/>
              <w:rPr>
                <w:b/>
                <w:sz w:val="18"/>
                <w:szCs w:val="18"/>
              </w:rPr>
            </w:pPr>
            <w:r w:rsidRPr="00485A40">
              <w:rPr>
                <w:b/>
                <w:sz w:val="18"/>
                <w:szCs w:val="18"/>
              </w:rPr>
              <w:t>Proposal</w:t>
            </w:r>
          </w:p>
        </w:tc>
        <w:tc>
          <w:tcPr>
            <w:tcW w:w="2835" w:type="dxa"/>
          </w:tcPr>
          <w:p w14:paraId="6F0A290A" w14:textId="77777777" w:rsidR="000E1360" w:rsidRPr="00485A40" w:rsidRDefault="000E1360" w:rsidP="005B0995">
            <w:pPr>
              <w:jc w:val="center"/>
              <w:rPr>
                <w:b/>
                <w:sz w:val="18"/>
                <w:szCs w:val="18"/>
              </w:rPr>
            </w:pPr>
            <w:r w:rsidRPr="00485A40">
              <w:rPr>
                <w:b/>
                <w:sz w:val="18"/>
                <w:szCs w:val="18"/>
              </w:rPr>
              <w:t>Reason for accordance with policy G5</w:t>
            </w:r>
          </w:p>
        </w:tc>
      </w:tr>
      <w:tr w:rsidR="000E1360" w:rsidRPr="00F55665" w14:paraId="1CB715DC" w14:textId="77777777" w:rsidTr="005B0995">
        <w:trPr>
          <w:jc w:val="center"/>
        </w:trPr>
        <w:tc>
          <w:tcPr>
            <w:tcW w:w="1268" w:type="dxa"/>
          </w:tcPr>
          <w:p w14:paraId="5C9896C4" w14:textId="77777777" w:rsidR="000E1360" w:rsidRPr="000937A6" w:rsidRDefault="000E1360" w:rsidP="005B0995">
            <w:pPr>
              <w:jc w:val="center"/>
              <w:rPr>
                <w:sz w:val="18"/>
                <w:szCs w:val="18"/>
              </w:rPr>
            </w:pPr>
            <w:r w:rsidRPr="000937A6">
              <w:rPr>
                <w:rStyle w:val="normaltextrun"/>
                <w:rFonts w:ascii="Calibri" w:hAnsi="Calibri" w:cs="Calibri"/>
                <w:color w:val="000000"/>
                <w:sz w:val="18"/>
                <w:szCs w:val="18"/>
                <w:bdr w:val="none" w:sz="0" w:space="0" w:color="auto" w:frame="1"/>
              </w:rPr>
              <w:t>20/00573/FUL</w:t>
            </w:r>
          </w:p>
        </w:tc>
        <w:tc>
          <w:tcPr>
            <w:tcW w:w="1361" w:type="dxa"/>
          </w:tcPr>
          <w:p w14:paraId="64DCC86C" w14:textId="77777777" w:rsidR="000E1360" w:rsidRPr="000937A6" w:rsidRDefault="000E1360" w:rsidP="005B0995">
            <w:pPr>
              <w:jc w:val="center"/>
              <w:rPr>
                <w:sz w:val="18"/>
                <w:szCs w:val="18"/>
              </w:rPr>
            </w:pPr>
            <w:r w:rsidRPr="000937A6">
              <w:rPr>
                <w:sz w:val="18"/>
                <w:szCs w:val="18"/>
              </w:rPr>
              <w:t xml:space="preserve">58-60 Liddell Building </w:t>
            </w:r>
            <w:proofErr w:type="spellStart"/>
            <w:r w:rsidRPr="000937A6">
              <w:rPr>
                <w:sz w:val="18"/>
                <w:szCs w:val="18"/>
              </w:rPr>
              <w:t>Iffley</w:t>
            </w:r>
            <w:proofErr w:type="spellEnd"/>
            <w:r w:rsidRPr="000937A6">
              <w:rPr>
                <w:sz w:val="18"/>
                <w:szCs w:val="18"/>
              </w:rPr>
              <w:t xml:space="preserve"> Road Oxford OX4 1EQ</w:t>
            </w:r>
          </w:p>
        </w:tc>
        <w:tc>
          <w:tcPr>
            <w:tcW w:w="2268" w:type="dxa"/>
          </w:tcPr>
          <w:p w14:paraId="0501D4AB" w14:textId="77777777" w:rsidR="000E1360" w:rsidRPr="000937A6" w:rsidRDefault="000E1360" w:rsidP="005B0995">
            <w:pPr>
              <w:pStyle w:val="paragraph"/>
              <w:spacing w:before="0" w:beforeAutospacing="0" w:after="0" w:afterAutospacing="0"/>
              <w:jc w:val="center"/>
              <w:textAlignment w:val="baseline"/>
              <w:rPr>
                <w:rStyle w:val="normaltextrun"/>
                <w:rFonts w:ascii="Calibri" w:hAnsi="Calibri" w:cs="Calibri"/>
                <w:sz w:val="18"/>
                <w:szCs w:val="18"/>
              </w:rPr>
            </w:pPr>
            <w:r w:rsidRPr="000937A6">
              <w:rPr>
                <w:rStyle w:val="normaltextrun"/>
                <w:rFonts w:ascii="Calibri" w:hAnsi="Calibri" w:cs="Calibri"/>
                <w:color w:val="000000"/>
                <w:sz w:val="18"/>
                <w:szCs w:val="18"/>
                <w:bdr w:val="none" w:sz="0" w:space="0" w:color="auto" w:frame="1"/>
              </w:rPr>
              <w:t xml:space="preserve">Erection of a single storey building to house plant equipment for the operation of a ground source heat pump, to serve the Liddell Buildings. The </w:t>
            </w:r>
            <w:r w:rsidRPr="000937A6">
              <w:rPr>
                <w:rStyle w:val="normaltextrun"/>
                <w:rFonts w:ascii="Calibri" w:hAnsi="Calibri" w:cs="Calibri"/>
                <w:color w:val="000000"/>
                <w:sz w:val="18"/>
                <w:szCs w:val="18"/>
                <w:bdr w:val="none" w:sz="0" w:space="0" w:color="auto" w:frame="1"/>
              </w:rPr>
              <w:lastRenderedPageBreak/>
              <w:t>development required excavation work and installation of heat pump equipment via a trench and boreholes within the boundary of the Christ Church Sports Ground.</w:t>
            </w:r>
          </w:p>
        </w:tc>
        <w:tc>
          <w:tcPr>
            <w:tcW w:w="2835" w:type="dxa"/>
          </w:tcPr>
          <w:p w14:paraId="32485A25" w14:textId="77777777" w:rsidR="000E1360" w:rsidRPr="000937A6" w:rsidRDefault="000E1360" w:rsidP="005B0995">
            <w:pPr>
              <w:pStyle w:val="paragraph"/>
              <w:spacing w:before="0" w:beforeAutospacing="0" w:after="0" w:afterAutospacing="0"/>
              <w:jc w:val="center"/>
              <w:textAlignment w:val="baseline"/>
              <w:rPr>
                <w:rFonts w:ascii="Calibri" w:hAnsi="Calibri" w:cs="Calibri"/>
                <w:sz w:val="18"/>
                <w:szCs w:val="18"/>
              </w:rPr>
            </w:pPr>
            <w:r w:rsidRPr="000937A6">
              <w:rPr>
                <w:rStyle w:val="normaltextrun"/>
                <w:rFonts w:ascii="Calibri" w:hAnsi="Calibri" w:cs="Calibri"/>
                <w:sz w:val="18"/>
                <w:szCs w:val="18"/>
                <w:shd w:val="clear" w:color="auto" w:fill="FFFFFF"/>
              </w:rPr>
              <w:lastRenderedPageBreak/>
              <w:t xml:space="preserve">The application was approved </w:t>
            </w:r>
            <w:r w:rsidRPr="000937A6">
              <w:rPr>
                <w:rStyle w:val="normaltextrun"/>
                <w:rFonts w:ascii="Calibri" w:hAnsi="Calibri" w:cs="Calibri"/>
                <w:color w:val="000000"/>
                <w:sz w:val="18"/>
                <w:szCs w:val="18"/>
                <w:shd w:val="clear" w:color="auto" w:fill="FFFFFF"/>
              </w:rPr>
              <w:t>with a condition to ensure that the sports ground land was ultimately reinstated to its former condition following the completion of works</w:t>
            </w:r>
            <w:r>
              <w:rPr>
                <w:rStyle w:val="normaltextrun"/>
                <w:rFonts w:ascii="Calibri" w:hAnsi="Calibri" w:cs="Calibri"/>
                <w:color w:val="000000"/>
                <w:sz w:val="18"/>
                <w:szCs w:val="18"/>
                <w:shd w:val="clear" w:color="auto" w:fill="FFFFFF"/>
              </w:rPr>
              <w:t>.</w:t>
            </w:r>
          </w:p>
        </w:tc>
      </w:tr>
      <w:tr w:rsidR="000E1360" w:rsidRPr="00F55665" w14:paraId="234E6B71" w14:textId="77777777" w:rsidTr="005B0995">
        <w:trPr>
          <w:jc w:val="center"/>
        </w:trPr>
        <w:tc>
          <w:tcPr>
            <w:tcW w:w="1268" w:type="dxa"/>
          </w:tcPr>
          <w:p w14:paraId="36CE5949" w14:textId="77777777" w:rsidR="000E1360" w:rsidRPr="000937A6" w:rsidRDefault="000E1360" w:rsidP="00485A40">
            <w:pPr>
              <w:jc w:val="center"/>
              <w:rPr>
                <w:sz w:val="18"/>
                <w:szCs w:val="18"/>
              </w:rPr>
            </w:pPr>
            <w:r w:rsidRPr="000937A6">
              <w:rPr>
                <w:rStyle w:val="normaltextrun"/>
                <w:rFonts w:ascii="Calibri" w:hAnsi="Calibri" w:cs="Calibri"/>
                <w:color w:val="000000"/>
                <w:sz w:val="18"/>
                <w:szCs w:val="18"/>
                <w:bdr w:val="none" w:sz="0" w:space="0" w:color="auto" w:frame="1"/>
              </w:rPr>
              <w:lastRenderedPageBreak/>
              <w:t>20/03194/FUL</w:t>
            </w:r>
          </w:p>
        </w:tc>
        <w:tc>
          <w:tcPr>
            <w:tcW w:w="1361" w:type="dxa"/>
          </w:tcPr>
          <w:p w14:paraId="2544207C" w14:textId="77777777" w:rsidR="000E1360" w:rsidRPr="000937A6" w:rsidRDefault="000E1360" w:rsidP="00485A40">
            <w:pPr>
              <w:jc w:val="center"/>
              <w:rPr>
                <w:sz w:val="18"/>
                <w:szCs w:val="18"/>
              </w:rPr>
            </w:pPr>
            <w:r w:rsidRPr="000937A6">
              <w:rPr>
                <w:sz w:val="18"/>
                <w:szCs w:val="18"/>
              </w:rPr>
              <w:t>The Cherwell School Marston Ferry Road Oxford OX2 7EE</w:t>
            </w:r>
          </w:p>
        </w:tc>
        <w:tc>
          <w:tcPr>
            <w:tcW w:w="2268" w:type="dxa"/>
          </w:tcPr>
          <w:p w14:paraId="419EFC27" w14:textId="77777777" w:rsidR="000E1360" w:rsidRPr="000937A6" w:rsidRDefault="000E1360" w:rsidP="00485A40">
            <w:pPr>
              <w:pStyle w:val="paragraph"/>
              <w:spacing w:before="0" w:beforeAutospacing="0" w:after="0" w:afterAutospacing="0"/>
              <w:jc w:val="center"/>
              <w:textAlignment w:val="baseline"/>
              <w:rPr>
                <w:rStyle w:val="normaltextrun"/>
                <w:rFonts w:ascii="Calibri" w:hAnsi="Calibri" w:cs="Calibri"/>
                <w:sz w:val="18"/>
                <w:szCs w:val="18"/>
              </w:rPr>
            </w:pPr>
            <w:r w:rsidRPr="000937A6">
              <w:rPr>
                <w:rStyle w:val="normaltextrun"/>
                <w:rFonts w:ascii="Calibri" w:hAnsi="Calibri" w:cs="Calibri"/>
                <w:color w:val="000000"/>
                <w:sz w:val="18"/>
                <w:szCs w:val="18"/>
                <w:bdr w:val="none" w:sz="0" w:space="0" w:color="auto" w:frame="1"/>
              </w:rPr>
              <w:t>Formation of an artificial turf football pitch with associated development including floodlights and fencing enclosure on the playing fields to the north of Marston Ferry Road. Resulting in replacement of a full size 11v11 football pitch and the reduction and relocation of a cricket square.</w:t>
            </w:r>
          </w:p>
        </w:tc>
        <w:tc>
          <w:tcPr>
            <w:tcW w:w="2835" w:type="dxa"/>
          </w:tcPr>
          <w:p w14:paraId="0B3C4C79" w14:textId="77777777" w:rsidR="000E1360" w:rsidRPr="000937A6" w:rsidRDefault="000E1360" w:rsidP="00485A40">
            <w:pPr>
              <w:pStyle w:val="paragraph"/>
              <w:spacing w:after="0"/>
              <w:jc w:val="center"/>
              <w:textAlignment w:val="baseline"/>
              <w:rPr>
                <w:rFonts w:ascii="Calibri" w:hAnsi="Calibri" w:cs="Calibri"/>
                <w:sz w:val="18"/>
                <w:szCs w:val="18"/>
              </w:rPr>
            </w:pPr>
            <w:r w:rsidRPr="000937A6">
              <w:rPr>
                <w:rStyle w:val="normaltextrun"/>
                <w:rFonts w:ascii="Calibri" w:hAnsi="Calibri" w:cs="Calibri"/>
                <w:color w:val="000000"/>
                <w:sz w:val="18"/>
                <w:szCs w:val="18"/>
                <w:bdr w:val="none" w:sz="0" w:space="0" w:color="auto" w:frame="1"/>
              </w:rPr>
              <w:t xml:space="preserve">The proposal included the </w:t>
            </w:r>
            <w:proofErr w:type="spellStart"/>
            <w:r w:rsidRPr="000937A6">
              <w:rPr>
                <w:rStyle w:val="normaltextrun"/>
                <w:rFonts w:ascii="Calibri" w:hAnsi="Calibri" w:cs="Calibri"/>
                <w:color w:val="000000"/>
                <w:sz w:val="18"/>
                <w:szCs w:val="18"/>
                <w:bdr w:val="none" w:sz="0" w:space="0" w:color="auto" w:frame="1"/>
              </w:rPr>
              <w:t>reprovision</w:t>
            </w:r>
            <w:proofErr w:type="spellEnd"/>
            <w:r w:rsidRPr="000937A6">
              <w:rPr>
                <w:rStyle w:val="normaltextrun"/>
                <w:rFonts w:ascii="Calibri" w:hAnsi="Calibri" w:cs="Calibri"/>
                <w:color w:val="000000"/>
                <w:sz w:val="18"/>
                <w:szCs w:val="18"/>
                <w:bdr w:val="none" w:sz="0" w:space="0" w:color="auto" w:frame="1"/>
              </w:rPr>
              <w:t xml:space="preserve"> of a cricket wicket and increased community access to these cricket facilities to balance out loss</w:t>
            </w:r>
            <w:r>
              <w:rPr>
                <w:rStyle w:val="normaltextrun"/>
                <w:rFonts w:ascii="Calibri" w:hAnsi="Calibri" w:cs="Calibri"/>
                <w:color w:val="000000"/>
                <w:sz w:val="18"/>
                <w:szCs w:val="18"/>
                <w:bdr w:val="none" w:sz="0" w:space="0" w:color="auto" w:frame="1"/>
              </w:rPr>
              <w:t>. P</w:t>
            </w:r>
            <w:r w:rsidRPr="000937A6">
              <w:rPr>
                <w:rStyle w:val="normaltextrun"/>
                <w:rFonts w:ascii="Calibri" w:hAnsi="Calibri" w:cs="Calibri"/>
                <w:color w:val="000000"/>
                <w:sz w:val="18"/>
                <w:szCs w:val="18"/>
                <w:bdr w:val="none" w:sz="0" w:space="0" w:color="auto" w:frame="1"/>
              </w:rPr>
              <w:t xml:space="preserve">roposal </w:t>
            </w:r>
            <w:r>
              <w:rPr>
                <w:rStyle w:val="normaltextrun"/>
                <w:rFonts w:ascii="Calibri" w:hAnsi="Calibri" w:cs="Calibri"/>
                <w:color w:val="000000"/>
                <w:sz w:val="18"/>
                <w:szCs w:val="18"/>
                <w:bdr w:val="none" w:sz="0" w:space="0" w:color="auto" w:frame="1"/>
              </w:rPr>
              <w:t>was concluded to</w:t>
            </w:r>
            <w:r w:rsidRPr="000937A6">
              <w:rPr>
                <w:rStyle w:val="normaltextrun"/>
                <w:rFonts w:ascii="Calibri" w:hAnsi="Calibri" w:cs="Calibri"/>
                <w:color w:val="000000"/>
                <w:sz w:val="18"/>
                <w:szCs w:val="18"/>
                <w:bdr w:val="none" w:sz="0" w:space="0" w:color="auto" w:frame="1"/>
              </w:rPr>
              <w:t xml:space="preserve"> represent a substantial improvement over the existing facilities and would also increase the usability and accessibility of the site which would intensify the use of the site for its intended p</w:t>
            </w:r>
            <w:r>
              <w:rPr>
                <w:rStyle w:val="normaltextrun"/>
                <w:rFonts w:ascii="Calibri" w:hAnsi="Calibri" w:cs="Calibri"/>
                <w:color w:val="000000"/>
                <w:sz w:val="18"/>
                <w:szCs w:val="18"/>
                <w:bdr w:val="none" w:sz="0" w:space="0" w:color="auto" w:frame="1"/>
              </w:rPr>
              <w:t>urpose.</w:t>
            </w:r>
          </w:p>
        </w:tc>
      </w:tr>
      <w:tr w:rsidR="000E1360" w:rsidRPr="00F55665" w14:paraId="46D81F99" w14:textId="77777777" w:rsidTr="005B0995">
        <w:trPr>
          <w:jc w:val="center"/>
        </w:trPr>
        <w:tc>
          <w:tcPr>
            <w:tcW w:w="1268" w:type="dxa"/>
          </w:tcPr>
          <w:p w14:paraId="127C8B58" w14:textId="77777777" w:rsidR="000E1360" w:rsidRPr="000937A6" w:rsidRDefault="000E1360" w:rsidP="00485A40">
            <w:pPr>
              <w:pStyle w:val="paragraph"/>
              <w:spacing w:before="0" w:beforeAutospacing="0" w:after="0" w:afterAutospacing="0"/>
              <w:jc w:val="center"/>
              <w:textAlignment w:val="baseline"/>
              <w:rPr>
                <w:sz w:val="18"/>
                <w:szCs w:val="18"/>
              </w:rPr>
            </w:pPr>
            <w:r w:rsidRPr="000937A6">
              <w:rPr>
                <w:rStyle w:val="normaltextrun"/>
                <w:rFonts w:ascii="Calibri" w:hAnsi="Calibri" w:cs="Calibri"/>
                <w:color w:val="000000"/>
                <w:sz w:val="18"/>
                <w:szCs w:val="18"/>
                <w:shd w:val="clear" w:color="auto" w:fill="FFFFFF"/>
              </w:rPr>
              <w:t>20/02433/FUL</w:t>
            </w:r>
          </w:p>
        </w:tc>
        <w:tc>
          <w:tcPr>
            <w:tcW w:w="1361" w:type="dxa"/>
          </w:tcPr>
          <w:p w14:paraId="4EFA78C6" w14:textId="77777777" w:rsidR="000E1360" w:rsidRPr="000937A6" w:rsidRDefault="000E1360" w:rsidP="00485A40">
            <w:pPr>
              <w:jc w:val="center"/>
              <w:rPr>
                <w:sz w:val="18"/>
                <w:szCs w:val="18"/>
              </w:rPr>
            </w:pPr>
            <w:proofErr w:type="spellStart"/>
            <w:r w:rsidRPr="000937A6">
              <w:rPr>
                <w:sz w:val="18"/>
                <w:szCs w:val="18"/>
              </w:rPr>
              <w:t>Cutteslowe</w:t>
            </w:r>
            <w:proofErr w:type="spellEnd"/>
            <w:r w:rsidRPr="000937A6">
              <w:rPr>
                <w:sz w:val="18"/>
                <w:szCs w:val="18"/>
              </w:rPr>
              <w:t xml:space="preserve"> Park </w:t>
            </w:r>
            <w:proofErr w:type="spellStart"/>
            <w:r w:rsidRPr="000937A6">
              <w:rPr>
                <w:sz w:val="18"/>
                <w:szCs w:val="18"/>
              </w:rPr>
              <w:t>Harbord</w:t>
            </w:r>
            <w:proofErr w:type="spellEnd"/>
            <w:r w:rsidRPr="000937A6">
              <w:rPr>
                <w:sz w:val="18"/>
                <w:szCs w:val="18"/>
              </w:rPr>
              <w:t xml:space="preserve"> Road Oxford Oxfordshire OX2 8ES</w:t>
            </w:r>
          </w:p>
        </w:tc>
        <w:tc>
          <w:tcPr>
            <w:tcW w:w="2268" w:type="dxa"/>
          </w:tcPr>
          <w:p w14:paraId="79F81A8B" w14:textId="77777777" w:rsidR="000E1360" w:rsidRPr="000937A6" w:rsidRDefault="000E1360" w:rsidP="00485A40">
            <w:pPr>
              <w:jc w:val="center"/>
              <w:rPr>
                <w:rStyle w:val="normaltextrun"/>
                <w:rFonts w:ascii="Calibri" w:hAnsi="Calibri" w:cs="Calibri"/>
                <w:sz w:val="18"/>
                <w:szCs w:val="18"/>
              </w:rPr>
            </w:pPr>
            <w:r w:rsidRPr="000937A6">
              <w:rPr>
                <w:rStyle w:val="normaltextrun"/>
                <w:rFonts w:ascii="Calibri" w:hAnsi="Calibri" w:cs="Calibri"/>
                <w:color w:val="000000"/>
                <w:sz w:val="18"/>
                <w:szCs w:val="18"/>
                <w:shd w:val="clear" w:color="auto" w:fill="FFFFFF"/>
              </w:rPr>
              <w:t xml:space="preserve">Installation of a caged cricket practice area at </w:t>
            </w:r>
            <w:proofErr w:type="spellStart"/>
            <w:r w:rsidRPr="000937A6">
              <w:rPr>
                <w:rStyle w:val="normaltextrun"/>
                <w:rFonts w:ascii="Calibri" w:hAnsi="Calibri" w:cs="Calibri"/>
                <w:color w:val="000000"/>
                <w:sz w:val="18"/>
                <w:szCs w:val="18"/>
                <w:shd w:val="clear" w:color="auto" w:fill="FFFFFF"/>
              </w:rPr>
              <w:t>Cutteslowe</w:t>
            </w:r>
            <w:proofErr w:type="spellEnd"/>
            <w:r w:rsidRPr="000937A6">
              <w:rPr>
                <w:rStyle w:val="normaltextrun"/>
                <w:rFonts w:ascii="Calibri" w:hAnsi="Calibri" w:cs="Calibri"/>
                <w:color w:val="000000"/>
                <w:sz w:val="18"/>
                <w:szCs w:val="18"/>
                <w:shd w:val="clear" w:color="auto" w:fill="FFFFFF"/>
              </w:rPr>
              <w:t xml:space="preserve"> Park</w:t>
            </w:r>
          </w:p>
        </w:tc>
        <w:tc>
          <w:tcPr>
            <w:tcW w:w="2835" w:type="dxa"/>
          </w:tcPr>
          <w:p w14:paraId="3E1F45CD" w14:textId="77777777" w:rsidR="000E1360" w:rsidRPr="007A5BDD" w:rsidRDefault="000E1360" w:rsidP="00485A40">
            <w:pPr>
              <w:jc w:val="center"/>
              <w:rPr>
                <w:sz w:val="18"/>
                <w:szCs w:val="18"/>
              </w:rPr>
            </w:pPr>
            <w:r>
              <w:rPr>
                <w:sz w:val="18"/>
                <w:szCs w:val="18"/>
              </w:rPr>
              <w:t xml:space="preserve">Officers concluded that the </w:t>
            </w:r>
            <w:r w:rsidRPr="007A5BDD">
              <w:rPr>
                <w:sz w:val="18"/>
                <w:szCs w:val="18"/>
              </w:rPr>
              <w:t xml:space="preserve">proposal would </w:t>
            </w:r>
            <w:r>
              <w:rPr>
                <w:sz w:val="18"/>
                <w:szCs w:val="18"/>
              </w:rPr>
              <w:t xml:space="preserve">not </w:t>
            </w:r>
            <w:r w:rsidRPr="007A5BDD">
              <w:rPr>
                <w:sz w:val="18"/>
                <w:szCs w:val="18"/>
              </w:rPr>
              <w:t>prevent the use of the</w:t>
            </w:r>
          </w:p>
          <w:p w14:paraId="50C59453" w14:textId="77777777" w:rsidR="000E1360" w:rsidRPr="000937A6" w:rsidRDefault="000E1360" w:rsidP="00485A40">
            <w:pPr>
              <w:jc w:val="center"/>
              <w:rPr>
                <w:sz w:val="18"/>
                <w:szCs w:val="18"/>
              </w:rPr>
            </w:pPr>
            <w:proofErr w:type="gramStart"/>
            <w:r w:rsidRPr="007A5BDD">
              <w:rPr>
                <w:sz w:val="18"/>
                <w:szCs w:val="18"/>
              </w:rPr>
              <w:t>cricket</w:t>
            </w:r>
            <w:proofErr w:type="gramEnd"/>
            <w:r w:rsidRPr="007A5BDD">
              <w:rPr>
                <w:sz w:val="18"/>
                <w:szCs w:val="18"/>
              </w:rPr>
              <w:t xml:space="preserve"> pitch </w:t>
            </w:r>
            <w:r>
              <w:rPr>
                <w:sz w:val="18"/>
                <w:szCs w:val="18"/>
              </w:rPr>
              <w:t>or</w:t>
            </w:r>
            <w:r w:rsidRPr="007A5BDD">
              <w:rPr>
                <w:sz w:val="18"/>
                <w:szCs w:val="18"/>
              </w:rPr>
              <w:t xml:space="preserve"> result in the loss of an outdoor sport facility</w:t>
            </w:r>
            <w:r>
              <w:rPr>
                <w:sz w:val="18"/>
                <w:szCs w:val="18"/>
              </w:rPr>
              <w:t xml:space="preserve">. A condition was included that required </w:t>
            </w:r>
            <w:r w:rsidRPr="00267616">
              <w:rPr>
                <w:sz w:val="18"/>
                <w:szCs w:val="18"/>
              </w:rPr>
              <w:t>an appropriate community use</w:t>
            </w:r>
            <w:r>
              <w:rPr>
                <w:sz w:val="18"/>
                <w:szCs w:val="18"/>
              </w:rPr>
              <w:t xml:space="preserve"> </w:t>
            </w:r>
            <w:r w:rsidRPr="00267616">
              <w:rPr>
                <w:sz w:val="18"/>
                <w:szCs w:val="18"/>
              </w:rPr>
              <w:t>agreement to be submitted to, and agreed by, the local planning authority</w:t>
            </w:r>
            <w:r>
              <w:rPr>
                <w:sz w:val="18"/>
                <w:szCs w:val="18"/>
              </w:rPr>
              <w:t>.</w:t>
            </w:r>
          </w:p>
        </w:tc>
      </w:tr>
      <w:tr w:rsidR="000E1360" w:rsidRPr="00F55665" w14:paraId="142ADC52" w14:textId="77777777" w:rsidTr="005B0995">
        <w:trPr>
          <w:jc w:val="center"/>
        </w:trPr>
        <w:tc>
          <w:tcPr>
            <w:tcW w:w="1268" w:type="dxa"/>
          </w:tcPr>
          <w:p w14:paraId="6C411C8D" w14:textId="77777777" w:rsidR="000E1360" w:rsidRPr="000937A6" w:rsidRDefault="000E1360" w:rsidP="00485A40">
            <w:pPr>
              <w:jc w:val="center"/>
              <w:rPr>
                <w:sz w:val="18"/>
                <w:szCs w:val="18"/>
              </w:rPr>
            </w:pPr>
            <w:r w:rsidRPr="000937A6">
              <w:rPr>
                <w:rStyle w:val="normaltextrun"/>
                <w:rFonts w:ascii="Calibri" w:hAnsi="Calibri" w:cs="Calibri"/>
                <w:color w:val="000000"/>
                <w:sz w:val="18"/>
                <w:szCs w:val="18"/>
                <w:shd w:val="clear" w:color="auto" w:fill="FFFFFF"/>
              </w:rPr>
              <w:t>20/00862/FUL</w:t>
            </w:r>
          </w:p>
        </w:tc>
        <w:tc>
          <w:tcPr>
            <w:tcW w:w="1361" w:type="dxa"/>
          </w:tcPr>
          <w:p w14:paraId="18F1439D" w14:textId="77777777" w:rsidR="000E1360" w:rsidRPr="000937A6" w:rsidRDefault="000E1360" w:rsidP="00485A40">
            <w:pPr>
              <w:jc w:val="center"/>
              <w:rPr>
                <w:sz w:val="18"/>
                <w:szCs w:val="18"/>
              </w:rPr>
            </w:pPr>
            <w:r w:rsidRPr="000937A6">
              <w:rPr>
                <w:sz w:val="18"/>
                <w:szCs w:val="18"/>
              </w:rPr>
              <w:t>St Gregory The Great Catholic School Cricket Road Oxford OX4 3DR</w:t>
            </w:r>
          </w:p>
        </w:tc>
        <w:tc>
          <w:tcPr>
            <w:tcW w:w="2268" w:type="dxa"/>
          </w:tcPr>
          <w:p w14:paraId="7ABB9135" w14:textId="77777777" w:rsidR="000E1360" w:rsidRPr="000937A6" w:rsidRDefault="000E1360" w:rsidP="00485A40">
            <w:pPr>
              <w:pStyle w:val="paragraph"/>
              <w:spacing w:before="0" w:beforeAutospacing="0" w:after="0" w:afterAutospacing="0"/>
              <w:jc w:val="center"/>
              <w:textAlignment w:val="baseline"/>
              <w:rPr>
                <w:rStyle w:val="normaltextrun"/>
                <w:rFonts w:ascii="Calibri" w:hAnsi="Calibri" w:cs="Calibri"/>
                <w:sz w:val="18"/>
                <w:szCs w:val="18"/>
              </w:rPr>
            </w:pPr>
            <w:r w:rsidRPr="000937A6">
              <w:rPr>
                <w:rStyle w:val="normaltextrun"/>
                <w:rFonts w:ascii="Calibri" w:hAnsi="Calibri" w:cs="Calibri"/>
                <w:color w:val="000000"/>
                <w:sz w:val="18"/>
                <w:szCs w:val="18"/>
                <w:shd w:val="clear" w:color="auto" w:fill="FFFFFF"/>
              </w:rPr>
              <w:t>Refurbishment of an Artificial Grass Pitch and replacement of existing synthetic turf pitch with new artificial turf pitch.</w:t>
            </w:r>
          </w:p>
        </w:tc>
        <w:tc>
          <w:tcPr>
            <w:tcW w:w="2835" w:type="dxa"/>
          </w:tcPr>
          <w:p w14:paraId="08BEA0C8" w14:textId="77777777" w:rsidR="000E1360" w:rsidRPr="000937A6" w:rsidRDefault="000E1360" w:rsidP="00485A40">
            <w:pPr>
              <w:pStyle w:val="paragraph"/>
              <w:spacing w:after="0"/>
              <w:jc w:val="center"/>
              <w:textAlignment w:val="baseline"/>
              <w:rPr>
                <w:rFonts w:ascii="Calibri" w:hAnsi="Calibri" w:cs="Calibri"/>
                <w:sz w:val="18"/>
                <w:szCs w:val="18"/>
              </w:rPr>
            </w:pPr>
            <w:r>
              <w:rPr>
                <w:rFonts w:ascii="Calibri" w:hAnsi="Calibri" w:cs="Calibri"/>
                <w:sz w:val="18"/>
                <w:szCs w:val="18"/>
              </w:rPr>
              <w:t>It was determined that the proposals would</w:t>
            </w:r>
            <w:r w:rsidRPr="00267616">
              <w:rPr>
                <w:rFonts w:ascii="Calibri" w:hAnsi="Calibri" w:cs="Calibri"/>
                <w:sz w:val="18"/>
                <w:szCs w:val="18"/>
              </w:rPr>
              <w:t xml:space="preserve"> represent an enhancement to local sports provision in East</w:t>
            </w:r>
            <w:r>
              <w:rPr>
                <w:rFonts w:ascii="Calibri" w:hAnsi="Calibri" w:cs="Calibri"/>
                <w:sz w:val="18"/>
                <w:szCs w:val="18"/>
              </w:rPr>
              <w:t xml:space="preserve"> </w:t>
            </w:r>
            <w:r w:rsidRPr="00267616">
              <w:rPr>
                <w:rFonts w:ascii="Calibri" w:hAnsi="Calibri" w:cs="Calibri"/>
                <w:sz w:val="18"/>
                <w:szCs w:val="18"/>
              </w:rPr>
              <w:t xml:space="preserve">Oxford </w:t>
            </w:r>
            <w:r>
              <w:rPr>
                <w:rFonts w:ascii="Calibri" w:hAnsi="Calibri" w:cs="Calibri"/>
                <w:sz w:val="18"/>
                <w:szCs w:val="18"/>
              </w:rPr>
              <w:t>in accordance</w:t>
            </w:r>
            <w:r w:rsidRPr="00267616">
              <w:rPr>
                <w:rFonts w:ascii="Calibri" w:hAnsi="Calibri" w:cs="Calibri"/>
                <w:sz w:val="18"/>
                <w:szCs w:val="18"/>
              </w:rPr>
              <w:t xml:space="preserve"> wit</w:t>
            </w:r>
            <w:r>
              <w:rPr>
                <w:rFonts w:ascii="Calibri" w:hAnsi="Calibri" w:cs="Calibri"/>
                <w:sz w:val="18"/>
                <w:szCs w:val="18"/>
              </w:rPr>
              <w:t>h the requirements of Policy G5.</w:t>
            </w:r>
          </w:p>
        </w:tc>
      </w:tr>
    </w:tbl>
    <w:p w14:paraId="4BAF560F" w14:textId="091CB832" w:rsidR="7A04C4E7" w:rsidRPr="00C01EF4" w:rsidRDefault="000E1360" w:rsidP="0040521B">
      <w:pPr>
        <w:pStyle w:val="paragraph"/>
        <w:spacing w:before="240" w:beforeAutospacing="0" w:after="0" w:afterAutospacing="0"/>
        <w:jc w:val="center"/>
        <w:textAlignment w:val="baseline"/>
        <w:rPr>
          <w:rFonts w:ascii="Calibri" w:hAnsi="Calibri" w:cs="Calibri"/>
          <w:b/>
          <w:bCs/>
          <w:sz w:val="20"/>
          <w:szCs w:val="22"/>
        </w:rPr>
      </w:pPr>
      <w:r w:rsidRPr="00C01EF4">
        <w:rPr>
          <w:rFonts w:ascii="Calibri" w:hAnsi="Calibri" w:cs="Calibri"/>
          <w:b/>
          <w:bCs/>
          <w:sz w:val="20"/>
          <w:szCs w:val="22"/>
        </w:rPr>
        <w:t xml:space="preserve">Table </w:t>
      </w:r>
      <w:r w:rsidR="00C302A2" w:rsidRPr="00C01EF4">
        <w:rPr>
          <w:rFonts w:ascii="Calibri" w:hAnsi="Calibri" w:cs="Calibri"/>
          <w:b/>
          <w:bCs/>
          <w:sz w:val="20"/>
          <w:szCs w:val="22"/>
        </w:rPr>
        <w:t>2</w:t>
      </w:r>
      <w:r w:rsidR="000109E8">
        <w:rPr>
          <w:rFonts w:ascii="Calibri" w:hAnsi="Calibri" w:cs="Calibri"/>
          <w:b/>
          <w:bCs/>
          <w:sz w:val="20"/>
          <w:szCs w:val="22"/>
        </w:rPr>
        <w:t>2</w:t>
      </w:r>
      <w:r w:rsidRPr="00C01EF4">
        <w:rPr>
          <w:rFonts w:ascii="Calibri" w:hAnsi="Calibri" w:cs="Calibri"/>
          <w:bCs/>
          <w:sz w:val="20"/>
          <w:szCs w:val="22"/>
        </w:rPr>
        <w:t>: Permissions that were granted for proposals on sites protected under policy G5</w:t>
      </w:r>
    </w:p>
    <w:p w14:paraId="15710932" w14:textId="66CF9DF7" w:rsidR="00E60902" w:rsidRDefault="000E1360" w:rsidP="0012069F">
      <w:pPr>
        <w:keepNext/>
        <w:numPr>
          <w:ilvl w:val="1"/>
          <w:numId w:val="11"/>
        </w:numPr>
        <w:spacing w:before="240" w:after="200" w:line="276" w:lineRule="auto"/>
        <w:ind w:left="567" w:hanging="567"/>
        <w:jc w:val="both"/>
      </w:pPr>
      <w:r>
        <w:t xml:space="preserve">One application was also refused in the monitoring period citing policy G5 as one of the contributing reasons within the decision notice, this was application 20/02680/FUL, which was for the erection of a 2 bed house at the Junction of </w:t>
      </w:r>
      <w:proofErr w:type="spellStart"/>
      <w:r>
        <w:t>Hosker</w:t>
      </w:r>
      <w:proofErr w:type="spellEnd"/>
      <w:r>
        <w:t xml:space="preserve"> Close a</w:t>
      </w:r>
      <w:r w:rsidRPr="00B23DE7">
        <w:t xml:space="preserve">nd </w:t>
      </w:r>
      <w:proofErr w:type="spellStart"/>
      <w:r w:rsidRPr="00B23DE7">
        <w:t>Merewood</w:t>
      </w:r>
      <w:proofErr w:type="spellEnd"/>
      <w:r w:rsidRPr="00B23DE7">
        <w:t xml:space="preserve"> Avenue</w:t>
      </w:r>
      <w:r>
        <w:t>. The development proposed to make use of existing open space but both failed to demonstrate, through the submitted open space assessment, that the site could be considered surplus to requirements, and did not propose its replacement with alternative provision.</w:t>
      </w:r>
    </w:p>
    <w:p w14:paraId="494D4A24" w14:textId="77777777" w:rsidR="00E60902" w:rsidRDefault="000E1360" w:rsidP="0012069F">
      <w:pPr>
        <w:keepNext/>
        <w:numPr>
          <w:ilvl w:val="1"/>
          <w:numId w:val="11"/>
        </w:numPr>
        <w:spacing w:before="240" w:after="200" w:line="276" w:lineRule="auto"/>
        <w:ind w:left="567" w:hanging="567"/>
        <w:jc w:val="both"/>
      </w:pPr>
      <w:r>
        <w:t xml:space="preserve">Policy G6 relates to development of residential garden land.  These applications were typically related to infill development, involving extensions or the erection of an additional dwelling on the land.  In the 2020/21 monitoring period, there were 17 applications refused which included reference to policy G6 within the reasons for refusal in the decision notice. Six of these applications were subsequently dismissed at appeal, another is currently being considered under appeal. </w:t>
      </w:r>
      <w:r w:rsidR="2D3D7276">
        <w:t>In the majority of refusals citing this policy in the reasons for refusal, this was usually related to an inappropriate massing with respect to the surrounding area, or loss of openness (the first two provisions within the policy), rather than being tied specifically to loss of biodiversity value (the third provision).</w:t>
      </w:r>
    </w:p>
    <w:p w14:paraId="7ABFD8BF" w14:textId="77777777" w:rsidR="00E60902" w:rsidRDefault="00E60902" w:rsidP="00E60902">
      <w:pPr>
        <w:pStyle w:val="ListParagraph"/>
      </w:pPr>
    </w:p>
    <w:p w14:paraId="6E485C45" w14:textId="35222A5C" w:rsidR="000E1360" w:rsidRDefault="000E1360" w:rsidP="0012069F">
      <w:pPr>
        <w:keepNext/>
        <w:numPr>
          <w:ilvl w:val="1"/>
          <w:numId w:val="11"/>
        </w:numPr>
        <w:spacing w:before="240" w:after="200" w:line="276" w:lineRule="auto"/>
        <w:ind w:left="567" w:hanging="567"/>
        <w:jc w:val="both"/>
      </w:pPr>
      <w:r w:rsidRPr="00B226D9">
        <w:lastRenderedPageBreak/>
        <w:t>Policy G7</w:t>
      </w:r>
      <w:r>
        <w:t xml:space="preserve"> is focussed on protecting existing green features in the city from inappropriate development. A great number of applications are likely to involve existing green infrastructure to a degree, however there were four applications refused which included policy G7 within the reasons for refusal. These decisions all related to the impacts of the proposed developments on existing trees, or the failure to submit appropriate studies which would demonstrate that existing trees would</w:t>
      </w:r>
      <w:r w:rsidR="0040521B">
        <w:t xml:space="preserve"> not be harmed by the proposal.</w:t>
      </w:r>
    </w:p>
    <w:p w14:paraId="6908B8ED" w14:textId="77777777" w:rsidR="000E1360" w:rsidRPr="001A1FBF" w:rsidRDefault="000E1360" w:rsidP="001A1FBF">
      <w:pPr>
        <w:pStyle w:val="Heading2"/>
      </w:pPr>
      <w:bookmarkStart w:id="54" w:name="_Toc88135869"/>
      <w:r w:rsidRPr="001A1FBF">
        <w:t>Enhancing Oxford’s heritage</w:t>
      </w:r>
      <w:bookmarkEnd w:id="54"/>
    </w:p>
    <w:p w14:paraId="0364F7B0" w14:textId="60E452A7" w:rsidR="00E60902" w:rsidRDefault="000E1360" w:rsidP="0012069F">
      <w:pPr>
        <w:keepNext/>
        <w:numPr>
          <w:ilvl w:val="1"/>
          <w:numId w:val="11"/>
        </w:numPr>
        <w:spacing w:before="240" w:after="200" w:line="276" w:lineRule="auto"/>
        <w:ind w:left="567" w:hanging="567"/>
        <w:jc w:val="both"/>
      </w:pPr>
      <w:r>
        <w:t xml:space="preserve">Heritage assets have significant protection through legislation, </w:t>
      </w:r>
      <w:r w:rsidR="570C7CD0">
        <w:t xml:space="preserve">wider </w:t>
      </w:r>
      <w:r>
        <w:t xml:space="preserve">government policy </w:t>
      </w:r>
      <w:r w:rsidR="75371BE5">
        <w:t>and</w:t>
      </w:r>
      <w:r>
        <w:t xml:space="preserve"> local </w:t>
      </w:r>
      <w:r w:rsidR="16BF8F2E">
        <w:t xml:space="preserve">planning </w:t>
      </w:r>
      <w:r>
        <w:t>polic</w:t>
      </w:r>
      <w:r w:rsidR="0D8B4C50">
        <w:t>ies</w:t>
      </w:r>
      <w:r w:rsidR="5071A9CA">
        <w:t xml:space="preserve">. </w:t>
      </w:r>
      <w:r>
        <w:t xml:space="preserve"> Policy DH3 sets out that proposals are expected to not cause harm to the character, appearance or significance of the listed building or the setting of the surrounding listed buildings, by reason of their size, siting, form, materials and design.  </w:t>
      </w:r>
    </w:p>
    <w:p w14:paraId="5D689A02" w14:textId="51068D3B" w:rsidR="000E1360" w:rsidRDefault="000E1360" w:rsidP="0012069F">
      <w:pPr>
        <w:keepNext/>
        <w:numPr>
          <w:ilvl w:val="1"/>
          <w:numId w:val="11"/>
        </w:numPr>
        <w:spacing w:before="240" w:after="200" w:line="276" w:lineRule="auto"/>
        <w:ind w:left="567" w:hanging="567"/>
        <w:jc w:val="both"/>
      </w:pPr>
      <w:r w:rsidRPr="00D47ADF">
        <w:t xml:space="preserve">To assess how well the council is preserving this aspect of our historic environment, this report monitors approvals of proposals involving the full or partial demolition or significant change in character of listed building noting the reasons.  </w:t>
      </w:r>
    </w:p>
    <w:tbl>
      <w:tblPr>
        <w:tblStyle w:val="TableGrid"/>
        <w:tblW w:w="8068" w:type="dxa"/>
        <w:jc w:val="center"/>
        <w:tblLook w:val="04A0" w:firstRow="1" w:lastRow="0" w:firstColumn="1" w:lastColumn="0" w:noHBand="0" w:noVBand="1"/>
      </w:tblPr>
      <w:tblGrid>
        <w:gridCol w:w="1264"/>
        <w:gridCol w:w="1701"/>
        <w:gridCol w:w="2268"/>
        <w:gridCol w:w="2835"/>
      </w:tblGrid>
      <w:tr w:rsidR="000E1360" w:rsidRPr="0069361F" w14:paraId="600C05D5" w14:textId="77777777" w:rsidTr="005B0995">
        <w:trPr>
          <w:jc w:val="center"/>
        </w:trPr>
        <w:tc>
          <w:tcPr>
            <w:tcW w:w="126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E921DC" w14:textId="77777777" w:rsidR="000E1360" w:rsidRPr="00241636" w:rsidRDefault="000E1360" w:rsidP="00AE463D">
            <w:pPr>
              <w:jc w:val="center"/>
              <w:rPr>
                <w:rFonts w:ascii="Calibri" w:hAnsi="Calibri" w:cs="Calibri"/>
                <w:b/>
                <w:color w:val="000000"/>
                <w:sz w:val="18"/>
                <w:szCs w:val="20"/>
              </w:rPr>
            </w:pPr>
            <w:r w:rsidRPr="00241636">
              <w:rPr>
                <w:rFonts w:ascii="Calibri" w:hAnsi="Calibri" w:cs="Calibri"/>
                <w:b/>
                <w:color w:val="000000"/>
                <w:sz w:val="18"/>
                <w:szCs w:val="20"/>
              </w:rPr>
              <w:t>Application reference</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C4B44F" w14:textId="77777777" w:rsidR="000E1360" w:rsidRPr="00241636" w:rsidRDefault="000E1360" w:rsidP="00AE463D">
            <w:pPr>
              <w:jc w:val="center"/>
              <w:rPr>
                <w:rFonts w:ascii="Calibri" w:hAnsi="Calibri" w:cs="Calibri"/>
                <w:b/>
                <w:color w:val="000000"/>
                <w:sz w:val="18"/>
                <w:szCs w:val="20"/>
              </w:rPr>
            </w:pPr>
            <w:r w:rsidRPr="00241636">
              <w:rPr>
                <w:rFonts w:ascii="Calibri" w:hAnsi="Calibri" w:cs="Calibri"/>
                <w:b/>
                <w:color w:val="000000"/>
                <w:sz w:val="18"/>
                <w:szCs w:val="20"/>
              </w:rPr>
              <w:t>Address</w:t>
            </w:r>
          </w:p>
        </w:tc>
        <w:tc>
          <w:tcPr>
            <w:tcW w:w="226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7462E2A" w14:textId="77777777" w:rsidR="000E1360" w:rsidRPr="00241636" w:rsidRDefault="000E1360" w:rsidP="00AE463D">
            <w:pPr>
              <w:jc w:val="center"/>
              <w:rPr>
                <w:rFonts w:ascii="Calibri" w:hAnsi="Calibri" w:cs="Calibri"/>
                <w:b/>
                <w:color w:val="000000"/>
                <w:sz w:val="18"/>
                <w:szCs w:val="20"/>
              </w:rPr>
            </w:pPr>
            <w:r w:rsidRPr="00241636">
              <w:rPr>
                <w:rFonts w:ascii="Calibri" w:hAnsi="Calibri" w:cs="Calibri"/>
                <w:b/>
                <w:color w:val="000000"/>
                <w:sz w:val="18"/>
                <w:szCs w:val="20"/>
              </w:rPr>
              <w:t>Description</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65D793" w14:textId="77777777" w:rsidR="000E1360" w:rsidRPr="00241636" w:rsidRDefault="000E1360" w:rsidP="00AE463D">
            <w:pPr>
              <w:jc w:val="center"/>
              <w:rPr>
                <w:rFonts w:ascii="Calibri" w:hAnsi="Calibri" w:cs="Calibri"/>
                <w:b/>
                <w:color w:val="000000"/>
                <w:sz w:val="18"/>
                <w:szCs w:val="20"/>
              </w:rPr>
            </w:pPr>
            <w:r w:rsidRPr="00241636">
              <w:rPr>
                <w:rFonts w:ascii="Calibri" w:hAnsi="Calibri" w:cs="Calibri"/>
                <w:b/>
                <w:color w:val="000000"/>
                <w:sz w:val="18"/>
                <w:szCs w:val="20"/>
              </w:rPr>
              <w:t>Summary of officer comments</w:t>
            </w:r>
          </w:p>
        </w:tc>
      </w:tr>
      <w:tr w:rsidR="000E1360" w:rsidRPr="0069361F" w14:paraId="78F7766D" w14:textId="77777777" w:rsidTr="005B0995">
        <w:trPr>
          <w:jc w:val="center"/>
        </w:trPr>
        <w:tc>
          <w:tcPr>
            <w:tcW w:w="1264" w:type="dxa"/>
            <w:tcBorders>
              <w:top w:val="single" w:sz="4" w:space="0" w:color="auto"/>
              <w:left w:val="single" w:sz="4" w:space="0" w:color="auto"/>
              <w:bottom w:val="single" w:sz="4" w:space="0" w:color="auto"/>
              <w:right w:val="single" w:sz="4" w:space="0" w:color="auto"/>
            </w:tcBorders>
            <w:hideMark/>
          </w:tcPr>
          <w:p w14:paraId="484897A4" w14:textId="77777777" w:rsidR="000E1360" w:rsidRPr="00C92D6D" w:rsidRDefault="000E1360" w:rsidP="00241636">
            <w:pPr>
              <w:jc w:val="center"/>
              <w:rPr>
                <w:rFonts w:ascii="Times New Roman" w:hAnsi="Times New Roman" w:cs="Times New Roman"/>
                <w:color w:val="000000"/>
                <w:sz w:val="18"/>
                <w:szCs w:val="20"/>
              </w:rPr>
            </w:pPr>
            <w:r w:rsidRPr="00C92D6D">
              <w:rPr>
                <w:color w:val="000000"/>
                <w:sz w:val="18"/>
                <w:szCs w:val="20"/>
              </w:rPr>
              <w:t>20/01294/LBC</w:t>
            </w:r>
          </w:p>
        </w:tc>
        <w:tc>
          <w:tcPr>
            <w:tcW w:w="1701" w:type="dxa"/>
            <w:tcBorders>
              <w:top w:val="single" w:sz="4" w:space="0" w:color="auto"/>
              <w:left w:val="single" w:sz="4" w:space="0" w:color="auto"/>
              <w:bottom w:val="single" w:sz="4" w:space="0" w:color="auto"/>
              <w:right w:val="single" w:sz="4" w:space="0" w:color="auto"/>
            </w:tcBorders>
            <w:hideMark/>
          </w:tcPr>
          <w:p w14:paraId="23EE518F" w14:textId="77777777" w:rsidR="000E1360" w:rsidRPr="00C92D6D" w:rsidRDefault="000E1360" w:rsidP="00241636">
            <w:pPr>
              <w:jc w:val="center"/>
              <w:rPr>
                <w:color w:val="000000"/>
                <w:sz w:val="18"/>
                <w:szCs w:val="20"/>
              </w:rPr>
            </w:pPr>
            <w:r w:rsidRPr="00C92D6D">
              <w:rPr>
                <w:color w:val="000000"/>
                <w:sz w:val="18"/>
                <w:szCs w:val="20"/>
              </w:rPr>
              <w:t>42 Park Town Oxford OX2 6SJ</w:t>
            </w:r>
          </w:p>
        </w:tc>
        <w:tc>
          <w:tcPr>
            <w:tcW w:w="2268" w:type="dxa"/>
            <w:tcBorders>
              <w:top w:val="single" w:sz="4" w:space="0" w:color="auto"/>
              <w:left w:val="single" w:sz="4" w:space="0" w:color="auto"/>
              <w:bottom w:val="single" w:sz="4" w:space="0" w:color="auto"/>
              <w:right w:val="single" w:sz="4" w:space="0" w:color="auto"/>
            </w:tcBorders>
            <w:hideMark/>
          </w:tcPr>
          <w:p w14:paraId="08BBB2C5" w14:textId="77777777" w:rsidR="000E1360" w:rsidRPr="00C92D6D" w:rsidRDefault="000E1360" w:rsidP="00241636">
            <w:pPr>
              <w:jc w:val="center"/>
              <w:rPr>
                <w:color w:val="000000"/>
                <w:sz w:val="18"/>
                <w:szCs w:val="18"/>
              </w:rPr>
            </w:pPr>
            <w:r w:rsidRPr="0A6D973C">
              <w:rPr>
                <w:color w:val="000000" w:themeColor="text1"/>
                <w:sz w:val="18"/>
                <w:szCs w:val="18"/>
              </w:rPr>
              <w:t>Demolition of existing garage and erection of a rear garden studio.</w:t>
            </w:r>
          </w:p>
        </w:tc>
        <w:tc>
          <w:tcPr>
            <w:tcW w:w="2835" w:type="dxa"/>
            <w:tcBorders>
              <w:top w:val="single" w:sz="4" w:space="0" w:color="auto"/>
              <w:left w:val="single" w:sz="4" w:space="0" w:color="auto"/>
              <w:bottom w:val="single" w:sz="4" w:space="0" w:color="auto"/>
              <w:right w:val="single" w:sz="4" w:space="0" w:color="auto"/>
            </w:tcBorders>
            <w:hideMark/>
          </w:tcPr>
          <w:p w14:paraId="23C5DE8C" w14:textId="5D765FCF" w:rsidR="000E1360" w:rsidRPr="00C92D6D" w:rsidRDefault="000E1360" w:rsidP="00241636">
            <w:pPr>
              <w:jc w:val="center"/>
              <w:rPr>
                <w:color w:val="000000"/>
                <w:sz w:val="18"/>
                <w:szCs w:val="18"/>
              </w:rPr>
            </w:pPr>
            <w:r w:rsidRPr="0A6D973C">
              <w:rPr>
                <w:color w:val="000000" w:themeColor="text1"/>
                <w:sz w:val="18"/>
                <w:szCs w:val="18"/>
              </w:rPr>
              <w:t>The removal of the existing garage was considered acceptable, as it is not of special interest and does not contribute positively to the principal listed building or its setting.</w:t>
            </w:r>
          </w:p>
        </w:tc>
      </w:tr>
      <w:tr w:rsidR="000E1360" w:rsidRPr="0069361F" w14:paraId="55C58242" w14:textId="77777777" w:rsidTr="005B0995">
        <w:trPr>
          <w:jc w:val="center"/>
        </w:trPr>
        <w:tc>
          <w:tcPr>
            <w:tcW w:w="1264" w:type="dxa"/>
            <w:tcBorders>
              <w:top w:val="single" w:sz="4" w:space="0" w:color="auto"/>
              <w:left w:val="single" w:sz="4" w:space="0" w:color="auto"/>
              <w:bottom w:val="single" w:sz="4" w:space="0" w:color="auto"/>
              <w:right w:val="single" w:sz="4" w:space="0" w:color="auto"/>
            </w:tcBorders>
            <w:hideMark/>
          </w:tcPr>
          <w:p w14:paraId="48871E12" w14:textId="77777777" w:rsidR="000E1360" w:rsidRPr="00C92D6D" w:rsidRDefault="000E1360" w:rsidP="00241636">
            <w:pPr>
              <w:jc w:val="center"/>
              <w:rPr>
                <w:color w:val="000000"/>
                <w:sz w:val="18"/>
                <w:szCs w:val="20"/>
              </w:rPr>
            </w:pPr>
            <w:r w:rsidRPr="00C92D6D">
              <w:rPr>
                <w:color w:val="000000"/>
                <w:sz w:val="18"/>
                <w:szCs w:val="20"/>
              </w:rPr>
              <w:t>20/00167/LBC</w:t>
            </w:r>
          </w:p>
        </w:tc>
        <w:tc>
          <w:tcPr>
            <w:tcW w:w="1701" w:type="dxa"/>
            <w:tcBorders>
              <w:top w:val="single" w:sz="4" w:space="0" w:color="auto"/>
              <w:left w:val="single" w:sz="4" w:space="0" w:color="auto"/>
              <w:bottom w:val="single" w:sz="4" w:space="0" w:color="auto"/>
              <w:right w:val="single" w:sz="4" w:space="0" w:color="auto"/>
            </w:tcBorders>
            <w:hideMark/>
          </w:tcPr>
          <w:p w14:paraId="029976BA" w14:textId="21466D48" w:rsidR="000E1360" w:rsidRPr="00C92D6D" w:rsidRDefault="000E1360" w:rsidP="00241636">
            <w:pPr>
              <w:jc w:val="center"/>
              <w:rPr>
                <w:color w:val="000000"/>
                <w:sz w:val="18"/>
                <w:szCs w:val="20"/>
              </w:rPr>
            </w:pPr>
            <w:r w:rsidRPr="00C92D6D">
              <w:rPr>
                <w:color w:val="000000"/>
                <w:sz w:val="18"/>
                <w:szCs w:val="20"/>
              </w:rPr>
              <w:t>Rhodes House South Parks Road Oxford Oxfordshire OX1 3RG</w:t>
            </w:r>
          </w:p>
        </w:tc>
        <w:tc>
          <w:tcPr>
            <w:tcW w:w="2268" w:type="dxa"/>
            <w:tcBorders>
              <w:top w:val="single" w:sz="4" w:space="0" w:color="auto"/>
              <w:left w:val="single" w:sz="4" w:space="0" w:color="auto"/>
              <w:bottom w:val="single" w:sz="4" w:space="0" w:color="auto"/>
              <w:right w:val="single" w:sz="4" w:space="0" w:color="auto"/>
            </w:tcBorders>
            <w:hideMark/>
          </w:tcPr>
          <w:p w14:paraId="546C7D69" w14:textId="25DB17E8" w:rsidR="000E1360" w:rsidRPr="00C92D6D" w:rsidRDefault="000E1360" w:rsidP="00241636">
            <w:pPr>
              <w:jc w:val="center"/>
              <w:rPr>
                <w:color w:val="000000"/>
                <w:sz w:val="18"/>
                <w:szCs w:val="18"/>
              </w:rPr>
            </w:pPr>
            <w:r w:rsidRPr="0A6D973C">
              <w:rPr>
                <w:color w:val="000000" w:themeColor="text1"/>
                <w:sz w:val="18"/>
                <w:szCs w:val="18"/>
              </w:rPr>
              <w:t>Demolition of Lodge buildings, garden works buildings. Refurbishment, alteration and extension of existing building</w:t>
            </w:r>
            <w:r>
              <w:rPr>
                <w:color w:val="000000" w:themeColor="text1"/>
                <w:sz w:val="18"/>
                <w:szCs w:val="18"/>
              </w:rPr>
              <w:t xml:space="preserve">. </w:t>
            </w:r>
            <w:r w:rsidRPr="0A6D973C">
              <w:rPr>
                <w:color w:val="000000" w:themeColor="text1"/>
                <w:sz w:val="18"/>
                <w:szCs w:val="18"/>
              </w:rPr>
              <w:t>Erection of replacement Lodges and single storey garden room. Creation of underground accommodation and sunken courtyard. Erection of a single storey glazed pavilion building (with new basement). Erection of new gardener’s outbuildings.</w:t>
            </w:r>
          </w:p>
        </w:tc>
        <w:tc>
          <w:tcPr>
            <w:tcW w:w="2835" w:type="dxa"/>
            <w:tcBorders>
              <w:top w:val="single" w:sz="4" w:space="0" w:color="auto"/>
              <w:left w:val="single" w:sz="4" w:space="0" w:color="auto"/>
              <w:bottom w:val="single" w:sz="4" w:space="0" w:color="auto"/>
              <w:right w:val="single" w:sz="4" w:space="0" w:color="auto"/>
            </w:tcBorders>
            <w:hideMark/>
          </w:tcPr>
          <w:p w14:paraId="6113F5B1" w14:textId="77777777" w:rsidR="000E1360" w:rsidRPr="00C92D6D" w:rsidRDefault="000E1360" w:rsidP="00241636">
            <w:pPr>
              <w:jc w:val="center"/>
              <w:rPr>
                <w:color w:val="000000"/>
                <w:sz w:val="18"/>
                <w:szCs w:val="18"/>
              </w:rPr>
            </w:pPr>
            <w:r w:rsidRPr="0A6D973C">
              <w:rPr>
                <w:color w:val="000000" w:themeColor="text1"/>
                <w:sz w:val="18"/>
                <w:szCs w:val="18"/>
              </w:rPr>
              <w:t>The less than substantial harm that would be caused to the heritage significance of the listed building was considered sufficiently mitigated by high quality architectural design, and outweighed b</w:t>
            </w:r>
            <w:r>
              <w:rPr>
                <w:color w:val="000000" w:themeColor="text1"/>
                <w:sz w:val="18"/>
                <w:szCs w:val="18"/>
              </w:rPr>
              <w:t>y the resulting public benefits</w:t>
            </w:r>
            <w:r w:rsidRPr="0A6D973C">
              <w:rPr>
                <w:color w:val="000000" w:themeColor="text1"/>
                <w:sz w:val="18"/>
                <w:szCs w:val="18"/>
              </w:rPr>
              <w:t>.</w:t>
            </w:r>
          </w:p>
        </w:tc>
      </w:tr>
      <w:tr w:rsidR="000E1360" w:rsidRPr="0069361F" w14:paraId="637A97B8" w14:textId="77777777" w:rsidTr="005B0995">
        <w:trPr>
          <w:jc w:val="center"/>
        </w:trPr>
        <w:tc>
          <w:tcPr>
            <w:tcW w:w="1264" w:type="dxa"/>
            <w:tcBorders>
              <w:top w:val="single" w:sz="4" w:space="0" w:color="auto"/>
              <w:left w:val="single" w:sz="4" w:space="0" w:color="auto"/>
              <w:bottom w:val="single" w:sz="4" w:space="0" w:color="auto"/>
              <w:right w:val="single" w:sz="4" w:space="0" w:color="auto"/>
            </w:tcBorders>
            <w:hideMark/>
          </w:tcPr>
          <w:p w14:paraId="1522FA97" w14:textId="77777777" w:rsidR="000E1360" w:rsidRPr="00C92D6D" w:rsidRDefault="000E1360" w:rsidP="00241636">
            <w:pPr>
              <w:jc w:val="center"/>
              <w:rPr>
                <w:color w:val="000000"/>
                <w:sz w:val="18"/>
                <w:szCs w:val="20"/>
              </w:rPr>
            </w:pPr>
            <w:r w:rsidRPr="00C92D6D">
              <w:rPr>
                <w:color w:val="000000"/>
                <w:sz w:val="18"/>
                <w:szCs w:val="20"/>
              </w:rPr>
              <w:t>19/02307/LBC</w:t>
            </w:r>
          </w:p>
        </w:tc>
        <w:tc>
          <w:tcPr>
            <w:tcW w:w="1701" w:type="dxa"/>
            <w:tcBorders>
              <w:top w:val="single" w:sz="4" w:space="0" w:color="auto"/>
              <w:left w:val="single" w:sz="4" w:space="0" w:color="auto"/>
              <w:bottom w:val="single" w:sz="4" w:space="0" w:color="auto"/>
              <w:right w:val="single" w:sz="4" w:space="0" w:color="auto"/>
            </w:tcBorders>
            <w:hideMark/>
          </w:tcPr>
          <w:p w14:paraId="79F439CF" w14:textId="6130F453" w:rsidR="000E1360" w:rsidRPr="00C92D6D" w:rsidRDefault="000E1360" w:rsidP="00241636">
            <w:pPr>
              <w:jc w:val="center"/>
              <w:rPr>
                <w:color w:val="000000"/>
                <w:sz w:val="18"/>
                <w:szCs w:val="20"/>
              </w:rPr>
            </w:pPr>
            <w:r w:rsidRPr="00C92D6D">
              <w:rPr>
                <w:color w:val="000000"/>
                <w:sz w:val="18"/>
                <w:szCs w:val="20"/>
              </w:rPr>
              <w:t>Castle Hill House 9 New Road Oxford Oxfordshire OX1 1LT</w:t>
            </w:r>
          </w:p>
        </w:tc>
        <w:tc>
          <w:tcPr>
            <w:tcW w:w="2268" w:type="dxa"/>
            <w:tcBorders>
              <w:top w:val="single" w:sz="4" w:space="0" w:color="auto"/>
              <w:left w:val="single" w:sz="4" w:space="0" w:color="auto"/>
              <w:bottom w:val="single" w:sz="4" w:space="0" w:color="auto"/>
              <w:right w:val="single" w:sz="4" w:space="0" w:color="auto"/>
            </w:tcBorders>
            <w:hideMark/>
          </w:tcPr>
          <w:p w14:paraId="295ABAEE" w14:textId="77777777" w:rsidR="000E1360" w:rsidRPr="00C92D6D" w:rsidRDefault="000E1360" w:rsidP="00241636">
            <w:pPr>
              <w:jc w:val="center"/>
              <w:rPr>
                <w:color w:val="000000"/>
                <w:sz w:val="18"/>
                <w:szCs w:val="20"/>
              </w:rPr>
            </w:pPr>
            <w:r w:rsidRPr="00C92D6D">
              <w:rPr>
                <w:color w:val="000000"/>
                <w:sz w:val="18"/>
                <w:szCs w:val="20"/>
              </w:rPr>
              <w:t xml:space="preserve">Alterations to east wall of Canal House including demolition of adjoining building and construction of new building abutting </w:t>
            </w:r>
            <w:r w:rsidRPr="00A31839">
              <w:rPr>
                <w:color w:val="000000"/>
                <w:sz w:val="18"/>
                <w:szCs w:val="20"/>
              </w:rPr>
              <w:t>up to east wall of Canal House.</w:t>
            </w:r>
          </w:p>
        </w:tc>
        <w:tc>
          <w:tcPr>
            <w:tcW w:w="2835" w:type="dxa"/>
            <w:tcBorders>
              <w:top w:val="single" w:sz="4" w:space="0" w:color="auto"/>
              <w:left w:val="single" w:sz="4" w:space="0" w:color="auto"/>
              <w:bottom w:val="single" w:sz="4" w:space="0" w:color="auto"/>
              <w:right w:val="single" w:sz="4" w:space="0" w:color="auto"/>
            </w:tcBorders>
            <w:hideMark/>
          </w:tcPr>
          <w:p w14:paraId="18C1F256" w14:textId="2E19F436" w:rsidR="000E1360" w:rsidRPr="00C92D6D" w:rsidRDefault="000E1360" w:rsidP="00241636">
            <w:pPr>
              <w:jc w:val="center"/>
              <w:rPr>
                <w:color w:val="000000"/>
                <w:sz w:val="18"/>
                <w:szCs w:val="18"/>
              </w:rPr>
            </w:pPr>
            <w:r w:rsidRPr="0A6D973C">
              <w:rPr>
                <w:color w:val="000000" w:themeColor="text1"/>
                <w:sz w:val="18"/>
                <w:szCs w:val="18"/>
              </w:rPr>
              <w:t>It was considered that there would be a low level of less than substantial harm to the architectural significance of the listed building, Canal House, caused by the proposed new development. It is considered that the level of harm has been mitigated and reduced to a very low level by the careful architectural response.</w:t>
            </w:r>
          </w:p>
        </w:tc>
      </w:tr>
      <w:tr w:rsidR="000E1360" w:rsidRPr="0069361F" w14:paraId="73FE7B9F" w14:textId="77777777" w:rsidTr="005B0995">
        <w:trPr>
          <w:jc w:val="center"/>
        </w:trPr>
        <w:tc>
          <w:tcPr>
            <w:tcW w:w="1264" w:type="dxa"/>
            <w:tcBorders>
              <w:top w:val="single" w:sz="4" w:space="0" w:color="auto"/>
              <w:left w:val="single" w:sz="4" w:space="0" w:color="auto"/>
              <w:bottom w:val="single" w:sz="4" w:space="0" w:color="auto"/>
              <w:right w:val="single" w:sz="4" w:space="0" w:color="auto"/>
            </w:tcBorders>
            <w:hideMark/>
          </w:tcPr>
          <w:p w14:paraId="711B5CCF" w14:textId="77777777" w:rsidR="000E1360" w:rsidRPr="00C92D6D" w:rsidRDefault="000E1360" w:rsidP="00241636">
            <w:pPr>
              <w:jc w:val="center"/>
              <w:rPr>
                <w:color w:val="000000"/>
                <w:sz w:val="18"/>
                <w:szCs w:val="20"/>
              </w:rPr>
            </w:pPr>
            <w:r w:rsidRPr="00C92D6D">
              <w:rPr>
                <w:color w:val="000000"/>
                <w:sz w:val="18"/>
                <w:szCs w:val="20"/>
              </w:rPr>
              <w:t>20/02652/LBC</w:t>
            </w:r>
          </w:p>
        </w:tc>
        <w:tc>
          <w:tcPr>
            <w:tcW w:w="1701" w:type="dxa"/>
            <w:tcBorders>
              <w:top w:val="single" w:sz="4" w:space="0" w:color="auto"/>
              <w:left w:val="single" w:sz="4" w:space="0" w:color="auto"/>
              <w:bottom w:val="single" w:sz="4" w:space="0" w:color="auto"/>
              <w:right w:val="single" w:sz="4" w:space="0" w:color="auto"/>
            </w:tcBorders>
            <w:hideMark/>
          </w:tcPr>
          <w:p w14:paraId="41C471C7" w14:textId="77777777" w:rsidR="000E1360" w:rsidRPr="00C92D6D" w:rsidRDefault="000E1360" w:rsidP="00241636">
            <w:pPr>
              <w:jc w:val="center"/>
              <w:rPr>
                <w:color w:val="000000"/>
                <w:sz w:val="18"/>
                <w:szCs w:val="20"/>
              </w:rPr>
            </w:pPr>
            <w:r w:rsidRPr="00C92D6D">
              <w:rPr>
                <w:color w:val="000000"/>
                <w:sz w:val="18"/>
                <w:szCs w:val="20"/>
              </w:rPr>
              <w:t xml:space="preserve">Edward </w:t>
            </w:r>
            <w:proofErr w:type="spellStart"/>
            <w:r w:rsidRPr="00C92D6D">
              <w:rPr>
                <w:color w:val="000000"/>
                <w:sz w:val="18"/>
                <w:szCs w:val="20"/>
              </w:rPr>
              <w:t>Greenes</w:t>
            </w:r>
            <w:proofErr w:type="spellEnd"/>
            <w:r w:rsidRPr="00C92D6D">
              <w:rPr>
                <w:color w:val="000000"/>
                <w:sz w:val="18"/>
                <w:szCs w:val="20"/>
              </w:rPr>
              <w:t xml:space="preserve"> Tutorial Establishment  45 Pembroke Street Oxford OX1 1BP</w:t>
            </w:r>
          </w:p>
        </w:tc>
        <w:tc>
          <w:tcPr>
            <w:tcW w:w="2268" w:type="dxa"/>
            <w:tcBorders>
              <w:top w:val="single" w:sz="4" w:space="0" w:color="auto"/>
              <w:left w:val="single" w:sz="4" w:space="0" w:color="auto"/>
              <w:bottom w:val="single" w:sz="4" w:space="0" w:color="auto"/>
              <w:right w:val="single" w:sz="4" w:space="0" w:color="auto"/>
            </w:tcBorders>
            <w:hideMark/>
          </w:tcPr>
          <w:p w14:paraId="284DAD72" w14:textId="77777777" w:rsidR="000E1360" w:rsidRPr="00C92D6D" w:rsidRDefault="000E1360" w:rsidP="00241636">
            <w:pPr>
              <w:jc w:val="center"/>
              <w:rPr>
                <w:color w:val="000000"/>
                <w:sz w:val="18"/>
                <w:szCs w:val="20"/>
              </w:rPr>
            </w:pPr>
            <w:r w:rsidRPr="00C92D6D">
              <w:rPr>
                <w:color w:val="000000"/>
                <w:sz w:val="18"/>
                <w:szCs w:val="20"/>
              </w:rPr>
              <w:t>Demolition and rebuilding of existing boundary wall and partial demolition and rebuilding of existing boiler room wall.</w:t>
            </w:r>
          </w:p>
        </w:tc>
        <w:tc>
          <w:tcPr>
            <w:tcW w:w="2835" w:type="dxa"/>
            <w:tcBorders>
              <w:top w:val="single" w:sz="4" w:space="0" w:color="auto"/>
              <w:left w:val="single" w:sz="4" w:space="0" w:color="auto"/>
              <w:bottom w:val="single" w:sz="4" w:space="0" w:color="auto"/>
              <w:right w:val="single" w:sz="4" w:space="0" w:color="auto"/>
            </w:tcBorders>
          </w:tcPr>
          <w:p w14:paraId="4703B333" w14:textId="34BA9036" w:rsidR="000E1360" w:rsidRPr="00C92D6D" w:rsidRDefault="00EC26A0" w:rsidP="00241636">
            <w:pPr>
              <w:jc w:val="center"/>
              <w:rPr>
                <w:color w:val="000000"/>
                <w:sz w:val="18"/>
                <w:szCs w:val="18"/>
              </w:rPr>
            </w:pPr>
            <w:r>
              <w:rPr>
                <w:color w:val="000000"/>
                <w:sz w:val="18"/>
                <w:szCs w:val="18"/>
              </w:rPr>
              <w:t>No comments.</w:t>
            </w:r>
          </w:p>
        </w:tc>
      </w:tr>
      <w:tr w:rsidR="000E1360" w:rsidRPr="0069361F" w14:paraId="69E47B30" w14:textId="77777777" w:rsidTr="005B0995">
        <w:trPr>
          <w:jc w:val="center"/>
        </w:trPr>
        <w:tc>
          <w:tcPr>
            <w:tcW w:w="1264" w:type="dxa"/>
            <w:tcBorders>
              <w:top w:val="single" w:sz="4" w:space="0" w:color="auto"/>
              <w:left w:val="single" w:sz="4" w:space="0" w:color="auto"/>
              <w:bottom w:val="single" w:sz="4" w:space="0" w:color="auto"/>
              <w:right w:val="single" w:sz="4" w:space="0" w:color="auto"/>
            </w:tcBorders>
            <w:hideMark/>
          </w:tcPr>
          <w:p w14:paraId="04D989A3" w14:textId="77777777" w:rsidR="000E1360" w:rsidRPr="00C92D6D" w:rsidRDefault="000E1360" w:rsidP="00241636">
            <w:pPr>
              <w:jc w:val="center"/>
              <w:rPr>
                <w:color w:val="000000"/>
                <w:sz w:val="18"/>
                <w:szCs w:val="20"/>
              </w:rPr>
            </w:pPr>
            <w:r w:rsidRPr="00C92D6D">
              <w:rPr>
                <w:color w:val="000000"/>
                <w:sz w:val="18"/>
                <w:szCs w:val="20"/>
              </w:rPr>
              <w:t>20/02146/LBC</w:t>
            </w:r>
          </w:p>
        </w:tc>
        <w:tc>
          <w:tcPr>
            <w:tcW w:w="1701" w:type="dxa"/>
            <w:tcBorders>
              <w:top w:val="single" w:sz="4" w:space="0" w:color="auto"/>
              <w:left w:val="single" w:sz="4" w:space="0" w:color="auto"/>
              <w:bottom w:val="single" w:sz="4" w:space="0" w:color="auto"/>
              <w:right w:val="single" w:sz="4" w:space="0" w:color="auto"/>
            </w:tcBorders>
            <w:hideMark/>
          </w:tcPr>
          <w:p w14:paraId="2881E3E5" w14:textId="77777777" w:rsidR="000E1360" w:rsidRPr="00C92D6D" w:rsidRDefault="000E1360" w:rsidP="00241636">
            <w:pPr>
              <w:jc w:val="center"/>
              <w:rPr>
                <w:color w:val="000000"/>
                <w:sz w:val="18"/>
                <w:szCs w:val="20"/>
              </w:rPr>
            </w:pPr>
            <w:r w:rsidRPr="00C92D6D">
              <w:rPr>
                <w:color w:val="000000"/>
                <w:sz w:val="18"/>
                <w:szCs w:val="20"/>
              </w:rPr>
              <w:t>16 Beaumont Street Oxford OX1 2NA</w:t>
            </w:r>
          </w:p>
        </w:tc>
        <w:tc>
          <w:tcPr>
            <w:tcW w:w="2268" w:type="dxa"/>
            <w:tcBorders>
              <w:top w:val="single" w:sz="4" w:space="0" w:color="auto"/>
              <w:left w:val="single" w:sz="4" w:space="0" w:color="auto"/>
              <w:bottom w:val="single" w:sz="4" w:space="0" w:color="auto"/>
              <w:right w:val="single" w:sz="4" w:space="0" w:color="auto"/>
            </w:tcBorders>
            <w:hideMark/>
          </w:tcPr>
          <w:p w14:paraId="1A108C14" w14:textId="47745F06" w:rsidR="000E1360" w:rsidRPr="00C92D6D" w:rsidRDefault="000E1360" w:rsidP="00241636">
            <w:pPr>
              <w:jc w:val="center"/>
              <w:rPr>
                <w:color w:val="000000"/>
                <w:sz w:val="18"/>
                <w:szCs w:val="18"/>
              </w:rPr>
            </w:pPr>
            <w:r w:rsidRPr="0A6D973C">
              <w:rPr>
                <w:color w:val="000000" w:themeColor="text1"/>
                <w:sz w:val="18"/>
                <w:szCs w:val="18"/>
              </w:rPr>
              <w:t xml:space="preserve">Demolition of bin storage and relocation to rear of </w:t>
            </w:r>
            <w:r w:rsidRPr="0A6D973C">
              <w:rPr>
                <w:color w:val="000000" w:themeColor="text1"/>
                <w:sz w:val="18"/>
                <w:szCs w:val="18"/>
              </w:rPr>
              <w:lastRenderedPageBreak/>
              <w:t>the garden. Installation of a new a</w:t>
            </w:r>
            <w:r w:rsidR="004072A4">
              <w:rPr>
                <w:color w:val="000000" w:themeColor="text1"/>
                <w:sz w:val="18"/>
                <w:szCs w:val="18"/>
              </w:rPr>
              <w:t>ir</w:t>
            </w:r>
            <w:r w:rsidRPr="0A6D973C">
              <w:rPr>
                <w:color w:val="000000" w:themeColor="text1"/>
                <w:sz w:val="18"/>
                <w:szCs w:val="18"/>
              </w:rPr>
              <w:t xml:space="preserve"> </w:t>
            </w:r>
            <w:r w:rsidR="004072A4">
              <w:rPr>
                <w:color w:val="000000" w:themeColor="text1"/>
                <w:sz w:val="18"/>
                <w:szCs w:val="18"/>
              </w:rPr>
              <w:t>source heat pump</w:t>
            </w:r>
            <w:r w:rsidRPr="0A6D973C">
              <w:rPr>
                <w:color w:val="000000" w:themeColor="text1"/>
                <w:sz w:val="18"/>
                <w:szCs w:val="18"/>
              </w:rPr>
              <w:t xml:space="preserve"> and refurbishment.</w:t>
            </w:r>
          </w:p>
        </w:tc>
        <w:tc>
          <w:tcPr>
            <w:tcW w:w="2835" w:type="dxa"/>
            <w:tcBorders>
              <w:top w:val="single" w:sz="4" w:space="0" w:color="auto"/>
              <w:left w:val="single" w:sz="4" w:space="0" w:color="auto"/>
              <w:bottom w:val="single" w:sz="4" w:space="0" w:color="auto"/>
              <w:right w:val="single" w:sz="4" w:space="0" w:color="auto"/>
            </w:tcBorders>
            <w:hideMark/>
          </w:tcPr>
          <w:p w14:paraId="07DAA479" w14:textId="77777777" w:rsidR="000E1360" w:rsidRPr="00C92D6D" w:rsidRDefault="000E1360" w:rsidP="00241636">
            <w:pPr>
              <w:jc w:val="center"/>
              <w:rPr>
                <w:color w:val="000000"/>
                <w:sz w:val="18"/>
                <w:szCs w:val="18"/>
              </w:rPr>
            </w:pPr>
            <w:r w:rsidRPr="0A6D973C">
              <w:rPr>
                <w:color w:val="000000" w:themeColor="text1"/>
                <w:sz w:val="18"/>
                <w:szCs w:val="18"/>
              </w:rPr>
              <w:lastRenderedPageBreak/>
              <w:t xml:space="preserve">It was considered that the proposals would not cause harm to </w:t>
            </w:r>
            <w:r w:rsidRPr="0A6D973C">
              <w:rPr>
                <w:color w:val="000000" w:themeColor="text1"/>
                <w:sz w:val="18"/>
                <w:szCs w:val="18"/>
              </w:rPr>
              <w:lastRenderedPageBreak/>
              <w:t>the character, appearance or significance of the listed building or the setting of listed buildings.</w:t>
            </w:r>
          </w:p>
        </w:tc>
      </w:tr>
      <w:tr w:rsidR="000E1360" w:rsidRPr="0069361F" w14:paraId="5EE9D960" w14:textId="77777777" w:rsidTr="005B0995">
        <w:trPr>
          <w:jc w:val="center"/>
        </w:trPr>
        <w:tc>
          <w:tcPr>
            <w:tcW w:w="1264" w:type="dxa"/>
            <w:tcBorders>
              <w:top w:val="single" w:sz="4" w:space="0" w:color="auto"/>
              <w:left w:val="single" w:sz="4" w:space="0" w:color="auto"/>
              <w:bottom w:val="single" w:sz="4" w:space="0" w:color="auto"/>
              <w:right w:val="single" w:sz="4" w:space="0" w:color="auto"/>
            </w:tcBorders>
            <w:hideMark/>
          </w:tcPr>
          <w:p w14:paraId="7D56DA58" w14:textId="77777777" w:rsidR="000E1360" w:rsidRPr="00C92D6D" w:rsidRDefault="000E1360" w:rsidP="00241636">
            <w:pPr>
              <w:jc w:val="center"/>
              <w:rPr>
                <w:color w:val="000000"/>
                <w:sz w:val="18"/>
                <w:szCs w:val="20"/>
              </w:rPr>
            </w:pPr>
            <w:r w:rsidRPr="00C92D6D">
              <w:rPr>
                <w:color w:val="000000"/>
                <w:sz w:val="18"/>
                <w:szCs w:val="20"/>
              </w:rPr>
              <w:lastRenderedPageBreak/>
              <w:t>20/03206/LBC</w:t>
            </w:r>
          </w:p>
        </w:tc>
        <w:tc>
          <w:tcPr>
            <w:tcW w:w="1701" w:type="dxa"/>
            <w:tcBorders>
              <w:top w:val="single" w:sz="4" w:space="0" w:color="auto"/>
              <w:left w:val="single" w:sz="4" w:space="0" w:color="auto"/>
              <w:bottom w:val="single" w:sz="4" w:space="0" w:color="auto"/>
              <w:right w:val="single" w:sz="4" w:space="0" w:color="auto"/>
            </w:tcBorders>
            <w:hideMark/>
          </w:tcPr>
          <w:p w14:paraId="0803501E" w14:textId="743B443A" w:rsidR="000E1360" w:rsidRPr="00C92D6D" w:rsidRDefault="000E1360" w:rsidP="00241636">
            <w:pPr>
              <w:jc w:val="center"/>
              <w:rPr>
                <w:color w:val="000000"/>
                <w:sz w:val="18"/>
                <w:szCs w:val="20"/>
              </w:rPr>
            </w:pPr>
            <w:r w:rsidRPr="00C92D6D">
              <w:rPr>
                <w:color w:val="000000"/>
                <w:sz w:val="18"/>
                <w:szCs w:val="20"/>
              </w:rPr>
              <w:t>Oriel College Oriel Square Oxford Oxfordshire OX1 4EW</w:t>
            </w:r>
          </w:p>
        </w:tc>
        <w:tc>
          <w:tcPr>
            <w:tcW w:w="2268" w:type="dxa"/>
            <w:tcBorders>
              <w:top w:val="single" w:sz="4" w:space="0" w:color="auto"/>
              <w:left w:val="single" w:sz="4" w:space="0" w:color="auto"/>
              <w:bottom w:val="single" w:sz="4" w:space="0" w:color="auto"/>
              <w:right w:val="single" w:sz="4" w:space="0" w:color="auto"/>
            </w:tcBorders>
            <w:hideMark/>
          </w:tcPr>
          <w:p w14:paraId="022542FA" w14:textId="20B55265" w:rsidR="000E1360" w:rsidRPr="00C92D6D" w:rsidRDefault="000E1360" w:rsidP="00241636">
            <w:pPr>
              <w:jc w:val="center"/>
              <w:rPr>
                <w:color w:val="000000"/>
                <w:sz w:val="18"/>
                <w:szCs w:val="18"/>
              </w:rPr>
            </w:pPr>
            <w:r w:rsidRPr="0A6D973C">
              <w:rPr>
                <w:color w:val="000000" w:themeColor="text1"/>
                <w:sz w:val="18"/>
                <w:szCs w:val="18"/>
              </w:rPr>
              <w:t>Removal of existing kitchen and staircase; provision of new kitchen, servery and collaborative</w:t>
            </w:r>
            <w:r>
              <w:rPr>
                <w:color w:val="000000" w:themeColor="text1"/>
                <w:sz w:val="18"/>
                <w:szCs w:val="18"/>
              </w:rPr>
              <w:t xml:space="preserve"> spaces to include w</w:t>
            </w:r>
            <w:r w:rsidRPr="0A6D973C">
              <w:rPr>
                <w:color w:val="000000" w:themeColor="text1"/>
                <w:sz w:val="18"/>
                <w:szCs w:val="18"/>
              </w:rPr>
              <w:t>ork to windows and boundary wall</w:t>
            </w:r>
            <w:r>
              <w:rPr>
                <w:color w:val="000000" w:themeColor="text1"/>
                <w:sz w:val="18"/>
                <w:szCs w:val="18"/>
              </w:rPr>
              <w:t xml:space="preserve"> and r</w:t>
            </w:r>
            <w:r w:rsidRPr="0A6D973C">
              <w:rPr>
                <w:color w:val="000000" w:themeColor="text1"/>
                <w:sz w:val="18"/>
                <w:szCs w:val="18"/>
              </w:rPr>
              <w:t>econfiguration of ground floor service areas beneath Champneys.</w:t>
            </w:r>
          </w:p>
        </w:tc>
        <w:tc>
          <w:tcPr>
            <w:tcW w:w="2835" w:type="dxa"/>
            <w:tcBorders>
              <w:top w:val="single" w:sz="4" w:space="0" w:color="auto"/>
              <w:left w:val="single" w:sz="4" w:space="0" w:color="auto"/>
              <w:bottom w:val="single" w:sz="4" w:space="0" w:color="auto"/>
              <w:right w:val="single" w:sz="4" w:space="0" w:color="auto"/>
            </w:tcBorders>
            <w:hideMark/>
          </w:tcPr>
          <w:p w14:paraId="6A872D83" w14:textId="77777777" w:rsidR="000E1360" w:rsidRPr="00C92D6D" w:rsidRDefault="000E1360" w:rsidP="00241636">
            <w:pPr>
              <w:jc w:val="center"/>
              <w:rPr>
                <w:color w:val="000000"/>
                <w:sz w:val="18"/>
                <w:szCs w:val="18"/>
              </w:rPr>
            </w:pPr>
            <w:r w:rsidRPr="0A6D973C">
              <w:rPr>
                <w:color w:val="000000" w:themeColor="text1"/>
                <w:sz w:val="18"/>
                <w:szCs w:val="18"/>
              </w:rPr>
              <w:t>The proposed interventions and new buildings were co</w:t>
            </w:r>
            <w:r>
              <w:rPr>
                <w:color w:val="000000" w:themeColor="text1"/>
                <w:sz w:val="18"/>
                <w:szCs w:val="18"/>
              </w:rPr>
              <w:t>nsidered to have been justified</w:t>
            </w:r>
            <w:r w:rsidRPr="0A6D973C">
              <w:rPr>
                <w:color w:val="000000" w:themeColor="text1"/>
                <w:sz w:val="18"/>
                <w:szCs w:val="18"/>
              </w:rPr>
              <w:t xml:space="preserve"> and that their design has been carefully considered to mitigate the level of resultant harm to significance of identified heritage assets.</w:t>
            </w:r>
          </w:p>
        </w:tc>
      </w:tr>
      <w:tr w:rsidR="000E1360" w:rsidRPr="0069361F" w14:paraId="61D9ECF2" w14:textId="77777777" w:rsidTr="005B0995">
        <w:trPr>
          <w:jc w:val="center"/>
        </w:trPr>
        <w:tc>
          <w:tcPr>
            <w:tcW w:w="1264" w:type="dxa"/>
            <w:tcBorders>
              <w:top w:val="single" w:sz="4" w:space="0" w:color="auto"/>
              <w:left w:val="single" w:sz="4" w:space="0" w:color="auto"/>
              <w:bottom w:val="single" w:sz="4" w:space="0" w:color="auto"/>
              <w:right w:val="single" w:sz="4" w:space="0" w:color="auto"/>
            </w:tcBorders>
            <w:hideMark/>
          </w:tcPr>
          <w:p w14:paraId="4C45201A" w14:textId="77777777" w:rsidR="000E1360" w:rsidRPr="00C92D6D" w:rsidRDefault="000E1360" w:rsidP="00241636">
            <w:pPr>
              <w:jc w:val="center"/>
              <w:rPr>
                <w:color w:val="000000"/>
                <w:sz w:val="18"/>
                <w:szCs w:val="20"/>
              </w:rPr>
            </w:pPr>
            <w:r w:rsidRPr="00C92D6D">
              <w:rPr>
                <w:color w:val="000000"/>
                <w:sz w:val="18"/>
                <w:szCs w:val="20"/>
              </w:rPr>
              <w:t>20/02526/LBC</w:t>
            </w:r>
          </w:p>
        </w:tc>
        <w:tc>
          <w:tcPr>
            <w:tcW w:w="1701" w:type="dxa"/>
            <w:tcBorders>
              <w:top w:val="single" w:sz="4" w:space="0" w:color="auto"/>
              <w:left w:val="single" w:sz="4" w:space="0" w:color="auto"/>
              <w:bottom w:val="single" w:sz="4" w:space="0" w:color="auto"/>
              <w:right w:val="single" w:sz="4" w:space="0" w:color="auto"/>
            </w:tcBorders>
            <w:hideMark/>
          </w:tcPr>
          <w:p w14:paraId="12ED5253" w14:textId="6726A0C4" w:rsidR="000E1360" w:rsidRPr="00C92D6D" w:rsidRDefault="000E1360" w:rsidP="00241636">
            <w:pPr>
              <w:jc w:val="center"/>
              <w:rPr>
                <w:color w:val="000000"/>
                <w:sz w:val="18"/>
                <w:szCs w:val="20"/>
              </w:rPr>
            </w:pPr>
            <w:r w:rsidRPr="00C92D6D">
              <w:rPr>
                <w:color w:val="000000"/>
                <w:sz w:val="18"/>
                <w:szCs w:val="20"/>
              </w:rPr>
              <w:t>164 Kingston Road Oxford Oxfordshire OX2 6RP</w:t>
            </w:r>
          </w:p>
        </w:tc>
        <w:tc>
          <w:tcPr>
            <w:tcW w:w="2268" w:type="dxa"/>
            <w:tcBorders>
              <w:top w:val="single" w:sz="4" w:space="0" w:color="auto"/>
              <w:left w:val="single" w:sz="4" w:space="0" w:color="auto"/>
              <w:bottom w:val="single" w:sz="4" w:space="0" w:color="auto"/>
              <w:right w:val="single" w:sz="4" w:space="0" w:color="auto"/>
            </w:tcBorders>
            <w:hideMark/>
          </w:tcPr>
          <w:p w14:paraId="357BFB91" w14:textId="77777777" w:rsidR="000E1360" w:rsidRPr="00C92D6D" w:rsidRDefault="000E1360" w:rsidP="00241636">
            <w:pPr>
              <w:jc w:val="center"/>
              <w:rPr>
                <w:color w:val="000000"/>
                <w:sz w:val="18"/>
                <w:szCs w:val="18"/>
              </w:rPr>
            </w:pPr>
            <w:r w:rsidRPr="0A6D973C">
              <w:rPr>
                <w:color w:val="000000" w:themeColor="text1"/>
                <w:sz w:val="18"/>
                <w:szCs w:val="18"/>
              </w:rPr>
              <w:t>Removal of existing shed. Erection of a single storey extension. Internal reconfiguration and alterations.</w:t>
            </w:r>
          </w:p>
        </w:tc>
        <w:tc>
          <w:tcPr>
            <w:tcW w:w="2835" w:type="dxa"/>
            <w:tcBorders>
              <w:top w:val="single" w:sz="4" w:space="0" w:color="auto"/>
              <w:left w:val="single" w:sz="4" w:space="0" w:color="auto"/>
              <w:bottom w:val="single" w:sz="4" w:space="0" w:color="auto"/>
              <w:right w:val="single" w:sz="4" w:space="0" w:color="auto"/>
            </w:tcBorders>
            <w:hideMark/>
          </w:tcPr>
          <w:p w14:paraId="706EB31A" w14:textId="4FF26242" w:rsidR="000E1360" w:rsidRPr="00C92D6D" w:rsidRDefault="000E1360" w:rsidP="00241636">
            <w:pPr>
              <w:jc w:val="center"/>
              <w:rPr>
                <w:color w:val="000000"/>
                <w:sz w:val="18"/>
                <w:szCs w:val="18"/>
              </w:rPr>
            </w:pPr>
            <w:r w:rsidRPr="0A6D973C">
              <w:rPr>
                <w:color w:val="000000" w:themeColor="text1"/>
                <w:sz w:val="18"/>
                <w:szCs w:val="18"/>
              </w:rPr>
              <w:t>It was considered that whilst there would be some loss of original fabric which would be less than substantial harm,</w:t>
            </w:r>
            <w:r>
              <w:rPr>
                <w:color w:val="000000" w:themeColor="text1"/>
                <w:sz w:val="18"/>
                <w:szCs w:val="18"/>
              </w:rPr>
              <w:t xml:space="preserve"> </w:t>
            </w:r>
            <w:r w:rsidRPr="0A6D973C">
              <w:rPr>
                <w:color w:val="000000" w:themeColor="text1"/>
                <w:sz w:val="18"/>
                <w:szCs w:val="18"/>
              </w:rPr>
              <w:t>the special architectural and historic interest of the listed building would be preserved and not harmed.</w:t>
            </w:r>
          </w:p>
        </w:tc>
      </w:tr>
    </w:tbl>
    <w:p w14:paraId="0063ED8A" w14:textId="127C3D65" w:rsidR="000E1360" w:rsidRPr="00C01EF4" w:rsidRDefault="000E1360" w:rsidP="0040521B">
      <w:pPr>
        <w:spacing w:before="240"/>
        <w:jc w:val="center"/>
        <w:rPr>
          <w:rFonts w:cs="Calibri"/>
          <w:bCs/>
          <w:color w:val="000000" w:themeColor="text1"/>
          <w:sz w:val="20"/>
        </w:rPr>
      </w:pPr>
      <w:r w:rsidRPr="00C01EF4">
        <w:rPr>
          <w:rFonts w:cs="Calibri"/>
          <w:b/>
          <w:bCs/>
          <w:color w:val="000000" w:themeColor="text1"/>
          <w:sz w:val="20"/>
        </w:rPr>
        <w:t xml:space="preserve">Table </w:t>
      </w:r>
      <w:r w:rsidR="000109E8">
        <w:rPr>
          <w:rFonts w:cs="Calibri"/>
          <w:b/>
          <w:bCs/>
          <w:color w:val="000000" w:themeColor="text1"/>
          <w:sz w:val="20"/>
        </w:rPr>
        <w:t>23</w:t>
      </w:r>
      <w:r w:rsidRPr="00C01EF4">
        <w:rPr>
          <w:rFonts w:cs="Calibri"/>
          <w:bCs/>
          <w:color w:val="000000" w:themeColor="text1"/>
          <w:sz w:val="20"/>
        </w:rPr>
        <w:t>:</w:t>
      </w:r>
      <w:r w:rsidR="752815B4" w:rsidRPr="00C01EF4">
        <w:rPr>
          <w:rFonts w:cs="Calibri"/>
          <w:bCs/>
          <w:color w:val="000000" w:themeColor="text1"/>
          <w:sz w:val="20"/>
        </w:rPr>
        <w:t xml:space="preserve"> </w:t>
      </w:r>
      <w:r w:rsidR="60C382F3" w:rsidRPr="00C01EF4">
        <w:rPr>
          <w:rFonts w:cs="Calibri"/>
          <w:bCs/>
          <w:color w:val="000000" w:themeColor="text1"/>
          <w:sz w:val="20"/>
        </w:rPr>
        <w:t>Permissions granted involving the full or partial demolition or significant change in character of listed building</w:t>
      </w:r>
      <w:r w:rsidR="57A6B6F2" w:rsidRPr="00C01EF4">
        <w:rPr>
          <w:rFonts w:cs="Calibri"/>
          <w:bCs/>
          <w:color w:val="000000" w:themeColor="text1"/>
          <w:sz w:val="20"/>
        </w:rPr>
        <w:t>s</w:t>
      </w:r>
    </w:p>
    <w:p w14:paraId="11F96AB4" w14:textId="08322CAC" w:rsidR="00E60902" w:rsidRPr="0012069F" w:rsidRDefault="000E1360" w:rsidP="0012069F">
      <w:pPr>
        <w:keepNext/>
        <w:numPr>
          <w:ilvl w:val="1"/>
          <w:numId w:val="11"/>
        </w:numPr>
        <w:spacing w:before="240" w:after="200" w:line="276" w:lineRule="auto"/>
        <w:ind w:left="567" w:hanging="567"/>
        <w:jc w:val="both"/>
      </w:pPr>
      <w:r w:rsidRPr="00D47ADF">
        <w:t>No approvals were granted against the advice of conservation officers.  A number of applications</w:t>
      </w:r>
      <w:r w:rsidR="00241636" w:rsidRPr="00D47ADF">
        <w:t xml:space="preserve"> have been approved during the monitoring period which involved </w:t>
      </w:r>
      <w:r w:rsidRPr="00D47ADF">
        <w:t xml:space="preserve">the removal of specific elements, e.g. internal partitions, specific fixtures </w:t>
      </w:r>
      <w:proofErr w:type="spellStart"/>
      <w:r w:rsidRPr="00D47ADF">
        <w:t>etc</w:t>
      </w:r>
      <w:proofErr w:type="spellEnd"/>
      <w:r w:rsidRPr="00D47ADF">
        <w:t>,</w:t>
      </w:r>
      <w:r w:rsidR="00241636" w:rsidRPr="00D47ADF">
        <w:t xml:space="preserve"> but these a</w:t>
      </w:r>
      <w:r w:rsidRPr="00D47ADF">
        <w:t>re not considered here as they were deemed to be acceptable in terms of their impacts and do not entail losses to the building fabric at a scale that would be significant. No appeals were allowed during the monitoring period where conservation or heritage policies were cited as a reason for refusal.</w:t>
      </w:r>
    </w:p>
    <w:p w14:paraId="509A358B" w14:textId="7D77A032" w:rsidR="000E1360" w:rsidRPr="00D47ADF" w:rsidRDefault="000E1360" w:rsidP="0012069F">
      <w:pPr>
        <w:keepNext/>
        <w:numPr>
          <w:ilvl w:val="1"/>
          <w:numId w:val="11"/>
        </w:numPr>
        <w:spacing w:before="240" w:after="200" w:line="276" w:lineRule="auto"/>
        <w:ind w:left="567" w:hanging="567"/>
        <w:jc w:val="both"/>
      </w:pPr>
      <w:r>
        <w:t xml:space="preserve">Historic England’s ‘Heritage at Risk’ programme identifies the heritage assets that are most at risk of being lost as a result of neglect, decay, or </w:t>
      </w:r>
      <w:r w:rsidRPr="00381445">
        <w:t xml:space="preserve">inappropriate development across England. In 2020/21 three of Oxford’s heritage assets were identified as being at risk (Table </w:t>
      </w:r>
      <w:r w:rsidR="00C1148A">
        <w:t>24</w:t>
      </w:r>
      <w:r w:rsidRPr="00381445">
        <w:t>).</w:t>
      </w:r>
      <w:r>
        <w:t xml:space="preserve"> </w:t>
      </w:r>
    </w:p>
    <w:tbl>
      <w:tblPr>
        <w:tblStyle w:val="TableGrid"/>
        <w:tblW w:w="0" w:type="auto"/>
        <w:jc w:val="center"/>
        <w:tblLook w:val="04A0" w:firstRow="1" w:lastRow="0" w:firstColumn="1" w:lastColumn="0" w:noHBand="0" w:noVBand="1"/>
      </w:tblPr>
      <w:tblGrid>
        <w:gridCol w:w="1701"/>
        <w:gridCol w:w="1701"/>
        <w:gridCol w:w="2835"/>
      </w:tblGrid>
      <w:tr w:rsidR="000E1360" w14:paraId="2525F23A" w14:textId="77777777" w:rsidTr="005B0995">
        <w:trPr>
          <w:jc w:val="center"/>
        </w:trPr>
        <w:tc>
          <w:tcPr>
            <w:tcW w:w="1701" w:type="dxa"/>
            <w:shd w:val="clear" w:color="auto" w:fill="E7E6E6" w:themeFill="background2"/>
          </w:tcPr>
          <w:p w14:paraId="47050844" w14:textId="77777777" w:rsidR="000E1360" w:rsidRPr="00241636" w:rsidRDefault="000E1360" w:rsidP="00AE463D">
            <w:pPr>
              <w:jc w:val="center"/>
              <w:rPr>
                <w:b/>
                <w:sz w:val="18"/>
              </w:rPr>
            </w:pPr>
            <w:r w:rsidRPr="00241636">
              <w:rPr>
                <w:b/>
                <w:sz w:val="18"/>
              </w:rPr>
              <w:t>Heritage Asset</w:t>
            </w:r>
          </w:p>
        </w:tc>
        <w:tc>
          <w:tcPr>
            <w:tcW w:w="1701" w:type="dxa"/>
            <w:shd w:val="clear" w:color="auto" w:fill="E7E6E6" w:themeFill="background2"/>
          </w:tcPr>
          <w:p w14:paraId="271B04E7" w14:textId="77777777" w:rsidR="000E1360" w:rsidRPr="00241636" w:rsidRDefault="000E1360" w:rsidP="00AE463D">
            <w:pPr>
              <w:jc w:val="center"/>
              <w:rPr>
                <w:b/>
                <w:sz w:val="18"/>
              </w:rPr>
            </w:pPr>
            <w:r w:rsidRPr="00241636">
              <w:rPr>
                <w:b/>
                <w:sz w:val="18"/>
              </w:rPr>
              <w:t>Condition</w:t>
            </w:r>
          </w:p>
        </w:tc>
        <w:tc>
          <w:tcPr>
            <w:tcW w:w="2835" w:type="dxa"/>
            <w:shd w:val="clear" w:color="auto" w:fill="E7E6E6" w:themeFill="background2"/>
          </w:tcPr>
          <w:p w14:paraId="5297D07B" w14:textId="77777777" w:rsidR="000E1360" w:rsidRPr="00241636" w:rsidRDefault="000E1360" w:rsidP="00AE463D">
            <w:pPr>
              <w:jc w:val="center"/>
              <w:rPr>
                <w:b/>
                <w:sz w:val="18"/>
              </w:rPr>
            </w:pPr>
            <w:r w:rsidRPr="00241636">
              <w:rPr>
                <w:b/>
                <w:sz w:val="18"/>
              </w:rPr>
              <w:t>Priority Category</w:t>
            </w:r>
          </w:p>
        </w:tc>
      </w:tr>
      <w:tr w:rsidR="000E1360" w14:paraId="73988DA9" w14:textId="77777777" w:rsidTr="005B0995">
        <w:trPr>
          <w:jc w:val="center"/>
        </w:trPr>
        <w:tc>
          <w:tcPr>
            <w:tcW w:w="1701" w:type="dxa"/>
          </w:tcPr>
          <w:p w14:paraId="3BCA51FE" w14:textId="7C27DBCA" w:rsidR="000E1360" w:rsidRPr="00C020D1" w:rsidRDefault="00C73F04" w:rsidP="00241636">
            <w:pPr>
              <w:jc w:val="center"/>
              <w:rPr>
                <w:sz w:val="18"/>
              </w:rPr>
            </w:pPr>
            <w:proofErr w:type="spellStart"/>
            <w:r>
              <w:rPr>
                <w:sz w:val="18"/>
              </w:rPr>
              <w:t>Rewley</w:t>
            </w:r>
            <w:proofErr w:type="spellEnd"/>
            <w:r>
              <w:rPr>
                <w:sz w:val="18"/>
              </w:rPr>
              <w:t xml:space="preserve"> Road Railway Swing Bridge</w:t>
            </w:r>
          </w:p>
        </w:tc>
        <w:tc>
          <w:tcPr>
            <w:tcW w:w="1701" w:type="dxa"/>
          </w:tcPr>
          <w:p w14:paraId="5BB85C95" w14:textId="77777777" w:rsidR="000E1360" w:rsidRPr="00C020D1" w:rsidRDefault="000E1360" w:rsidP="00241636">
            <w:pPr>
              <w:jc w:val="center"/>
              <w:rPr>
                <w:sz w:val="18"/>
              </w:rPr>
            </w:pPr>
            <w:r w:rsidRPr="00C020D1">
              <w:rPr>
                <w:sz w:val="18"/>
              </w:rPr>
              <w:t>Very bad</w:t>
            </w:r>
          </w:p>
        </w:tc>
        <w:tc>
          <w:tcPr>
            <w:tcW w:w="2835" w:type="dxa"/>
          </w:tcPr>
          <w:p w14:paraId="4AC49BC4" w14:textId="77777777" w:rsidR="000E1360" w:rsidRPr="00C020D1" w:rsidRDefault="000E1360" w:rsidP="00241636">
            <w:pPr>
              <w:jc w:val="center"/>
              <w:rPr>
                <w:sz w:val="18"/>
              </w:rPr>
            </w:pPr>
            <w:r w:rsidRPr="00C020D1">
              <w:rPr>
                <w:sz w:val="18"/>
              </w:rPr>
              <w:t>F - Repair scheme in progress and (where applicable) end use or user identified; or functionally redundant buildings with new use agreed but not yet implemented.</w:t>
            </w:r>
          </w:p>
        </w:tc>
      </w:tr>
      <w:tr w:rsidR="000E1360" w:rsidRPr="00F75F88" w14:paraId="4CDD4F3E" w14:textId="77777777" w:rsidTr="005B0995">
        <w:trPr>
          <w:jc w:val="center"/>
        </w:trPr>
        <w:tc>
          <w:tcPr>
            <w:tcW w:w="1701" w:type="dxa"/>
          </w:tcPr>
          <w:p w14:paraId="3E7F75F8" w14:textId="5DA3411A" w:rsidR="000E1360" w:rsidRPr="00F75F88" w:rsidRDefault="000E1360" w:rsidP="00241636">
            <w:pPr>
              <w:jc w:val="center"/>
              <w:rPr>
                <w:sz w:val="18"/>
              </w:rPr>
            </w:pPr>
            <w:r w:rsidRPr="00F75F88">
              <w:rPr>
                <w:sz w:val="18"/>
              </w:rPr>
              <w:t>Church of St Thomas the Martyr, St Thomas Street</w:t>
            </w:r>
          </w:p>
        </w:tc>
        <w:tc>
          <w:tcPr>
            <w:tcW w:w="1701" w:type="dxa"/>
          </w:tcPr>
          <w:p w14:paraId="3ADD8263" w14:textId="77777777" w:rsidR="000E1360" w:rsidRPr="00F75F88" w:rsidRDefault="000E1360" w:rsidP="00241636">
            <w:pPr>
              <w:jc w:val="center"/>
              <w:rPr>
                <w:sz w:val="18"/>
              </w:rPr>
            </w:pPr>
            <w:r w:rsidRPr="00F75F88">
              <w:rPr>
                <w:sz w:val="18"/>
              </w:rPr>
              <w:t>Poor</w:t>
            </w:r>
          </w:p>
        </w:tc>
        <w:tc>
          <w:tcPr>
            <w:tcW w:w="2835" w:type="dxa"/>
          </w:tcPr>
          <w:p w14:paraId="5EDFDAE4" w14:textId="77777777" w:rsidR="000E1360" w:rsidRPr="00F75F88" w:rsidRDefault="000E1360" w:rsidP="00241636">
            <w:pPr>
              <w:jc w:val="center"/>
              <w:rPr>
                <w:sz w:val="18"/>
              </w:rPr>
            </w:pPr>
            <w:r w:rsidRPr="00F75F88">
              <w:rPr>
                <w:sz w:val="18"/>
              </w:rPr>
              <w:t>C - Slow decay; no solution agreed.</w:t>
            </w:r>
          </w:p>
        </w:tc>
      </w:tr>
      <w:tr w:rsidR="000E1360" w:rsidRPr="00F75F88" w14:paraId="12E0AE56" w14:textId="77777777" w:rsidTr="005B0995">
        <w:trPr>
          <w:jc w:val="center"/>
        </w:trPr>
        <w:tc>
          <w:tcPr>
            <w:tcW w:w="1701" w:type="dxa"/>
          </w:tcPr>
          <w:p w14:paraId="6135E55F" w14:textId="77777777" w:rsidR="000E1360" w:rsidRPr="00C92D6D" w:rsidRDefault="000E1360" w:rsidP="00241636">
            <w:pPr>
              <w:jc w:val="center"/>
              <w:rPr>
                <w:sz w:val="18"/>
              </w:rPr>
            </w:pPr>
            <w:r w:rsidRPr="00C92D6D">
              <w:rPr>
                <w:sz w:val="18"/>
              </w:rPr>
              <w:t>Church of the Holy Family, Blackbird Leys</w:t>
            </w:r>
          </w:p>
        </w:tc>
        <w:tc>
          <w:tcPr>
            <w:tcW w:w="1701" w:type="dxa"/>
          </w:tcPr>
          <w:p w14:paraId="6BAD6445" w14:textId="77777777" w:rsidR="000E1360" w:rsidRPr="00C92D6D" w:rsidRDefault="000E1360" w:rsidP="00241636">
            <w:pPr>
              <w:jc w:val="center"/>
              <w:rPr>
                <w:sz w:val="18"/>
              </w:rPr>
            </w:pPr>
            <w:r w:rsidRPr="00C92D6D">
              <w:rPr>
                <w:sz w:val="18"/>
              </w:rPr>
              <w:t>Very bad</w:t>
            </w:r>
          </w:p>
        </w:tc>
        <w:tc>
          <w:tcPr>
            <w:tcW w:w="2835" w:type="dxa"/>
          </w:tcPr>
          <w:p w14:paraId="75ECA772" w14:textId="5B0577B5" w:rsidR="000E1360" w:rsidRPr="00C92D6D" w:rsidRDefault="000E1360" w:rsidP="00241636">
            <w:pPr>
              <w:jc w:val="center"/>
              <w:rPr>
                <w:sz w:val="18"/>
              </w:rPr>
            </w:pPr>
            <w:r w:rsidRPr="00C92D6D">
              <w:rPr>
                <w:sz w:val="18"/>
              </w:rPr>
              <w:t>A - Immediate risk of further rapid deterioration or loss of fabric; no solution agreed.</w:t>
            </w:r>
          </w:p>
        </w:tc>
      </w:tr>
    </w:tbl>
    <w:p w14:paraId="4748617A" w14:textId="2F561905" w:rsidR="000E1360" w:rsidRPr="00C01EF4" w:rsidRDefault="000E1360" w:rsidP="0040521B">
      <w:pPr>
        <w:spacing w:before="240"/>
        <w:jc w:val="center"/>
        <w:rPr>
          <w:b/>
          <w:bCs/>
          <w:sz w:val="20"/>
          <w:szCs w:val="18"/>
        </w:rPr>
      </w:pPr>
      <w:r w:rsidRPr="00C01EF4">
        <w:rPr>
          <w:b/>
          <w:bCs/>
          <w:sz w:val="20"/>
          <w:szCs w:val="18"/>
        </w:rPr>
        <w:t xml:space="preserve">Table </w:t>
      </w:r>
      <w:r w:rsidR="00C1148A">
        <w:rPr>
          <w:b/>
          <w:bCs/>
          <w:sz w:val="20"/>
          <w:szCs w:val="18"/>
        </w:rPr>
        <w:t>24</w:t>
      </w:r>
      <w:r w:rsidRPr="00C01EF4">
        <w:rPr>
          <w:bCs/>
          <w:sz w:val="20"/>
          <w:szCs w:val="18"/>
        </w:rPr>
        <w:t>: Heritage assets at risk in Oxford (August 2021)</w:t>
      </w:r>
    </w:p>
    <w:p w14:paraId="66D35688" w14:textId="47756C1F" w:rsidR="00EA025A" w:rsidRPr="0012069F" w:rsidRDefault="000E1360" w:rsidP="0012069F">
      <w:pPr>
        <w:keepNext/>
        <w:numPr>
          <w:ilvl w:val="1"/>
          <w:numId w:val="11"/>
        </w:numPr>
        <w:spacing w:before="240" w:after="200" w:line="276" w:lineRule="auto"/>
        <w:ind w:left="567" w:hanging="567"/>
        <w:jc w:val="both"/>
      </w:pPr>
      <w:r w:rsidRPr="00C1148A">
        <w:t>Two of the heritage assets have been identified as being at risk in the previous AMR</w:t>
      </w:r>
      <w:r w:rsidR="00C033FC" w:rsidRPr="00C1148A">
        <w:t>.</w:t>
      </w:r>
      <w:r w:rsidR="006E3F38" w:rsidRPr="00C1148A">
        <w:t xml:space="preserve">  There are detail</w:t>
      </w:r>
      <w:r w:rsidR="001D2E3B" w:rsidRPr="00C1148A">
        <w:t>ed</w:t>
      </w:r>
      <w:r w:rsidR="006E3F38" w:rsidRPr="00C1148A">
        <w:t xml:space="preserve"> plans for restoration works on the </w:t>
      </w:r>
      <w:proofErr w:type="spellStart"/>
      <w:r w:rsidR="006E3F38" w:rsidRPr="00C1148A">
        <w:t>Rewley</w:t>
      </w:r>
      <w:proofErr w:type="spellEnd"/>
      <w:r w:rsidR="006E3F38" w:rsidRPr="00C1148A">
        <w:t xml:space="preserve"> Road Railway Swing Bridge.  These did not commence during the monitoring period and will be reported in the next AMR.  </w:t>
      </w:r>
      <w:r w:rsidR="00416EBF" w:rsidRPr="00C1148A">
        <w:t>T</w:t>
      </w:r>
      <w:r w:rsidRPr="00C1148A">
        <w:t>he Church of the Holy Family</w:t>
      </w:r>
      <w:r w:rsidR="000109E8" w:rsidRPr="00C1148A">
        <w:t xml:space="preserve"> is Grade II listed and</w:t>
      </w:r>
      <w:r w:rsidRPr="00C1148A">
        <w:t xml:space="preserve"> was not </w:t>
      </w:r>
      <w:r w:rsidR="000109E8" w:rsidRPr="00C1148A">
        <w:t xml:space="preserve">included in the heritage assets at risk list </w:t>
      </w:r>
      <w:r w:rsidRPr="00C1148A">
        <w:t>in the previous AMR</w:t>
      </w:r>
      <w:r w:rsidR="000109E8" w:rsidRPr="00C1148A">
        <w:t xml:space="preserve">.  It is in a very bad condition and no longer in active use by the church or wider community, having been declared a dangerous structure in 2018 and deemed no longer fit for </w:t>
      </w:r>
      <w:r w:rsidR="000109E8" w:rsidRPr="00C1148A">
        <w:lastRenderedPageBreak/>
        <w:t xml:space="preserve">the purpose for which it was originally designed or for community use. </w:t>
      </w:r>
      <w:r w:rsidR="00C1148A">
        <w:t xml:space="preserve"> </w:t>
      </w:r>
      <w:r w:rsidR="000109E8" w:rsidRPr="00C1148A">
        <w:t>The potential for its repair and renewal was considered unfeasible, with this judgement informed by the work and advice of Historic England as a statutory consultee. An application for redevelopment of the existing church to provide a new church building and community facilities was received in March 2020 (20/00688/LBC).  This application was not determined during the monitoring period and will be reported in the next AMR. </w:t>
      </w:r>
      <w:r w:rsidR="000109E8" w:rsidRPr="0012069F">
        <w:t xml:space="preserve"> </w:t>
      </w:r>
    </w:p>
    <w:p w14:paraId="5C102BDB" w14:textId="2EFB65E4" w:rsidR="000E1360" w:rsidRPr="00C1148A" w:rsidRDefault="000E1360" w:rsidP="0012069F">
      <w:pPr>
        <w:keepNext/>
        <w:numPr>
          <w:ilvl w:val="1"/>
          <w:numId w:val="11"/>
        </w:numPr>
        <w:spacing w:before="240" w:after="200" w:line="276" w:lineRule="auto"/>
        <w:ind w:left="567" w:hanging="567"/>
        <w:jc w:val="both"/>
      </w:pPr>
      <w:r w:rsidRPr="00C1148A">
        <w:t>Policy DH4 considers archaeological remains. During the monitoring period, no approvals were granted for developments with unresolved objections from relevant agencies or officers. No appeals were upheld where harm to archaeological remains were cited as a reason for refusal. The National Planning Policy Framework requires that local planning authorities should make information about the significance of the historic impact gathered as part of the development management process publicly accessible. As one of the ways to meet this requirement, the City Council has produced an Annual Monitoring Statement for Archaeological Assets (2020)</w:t>
      </w:r>
      <w:r w:rsidR="00C1148A" w:rsidRPr="00B31179">
        <w:rPr>
          <w:vertAlign w:val="superscript"/>
        </w:rPr>
        <w:footnoteReference w:id="12"/>
      </w:r>
      <w:r w:rsidRPr="00C1148A">
        <w:t xml:space="preserve"> which provides a short overview of the scope and impact of development led archaeology in Oxford. The annual statement provides an excellent basis for monitoring the ongoing cumulative impact of both development and asset management on the city’s archaeological resource. </w:t>
      </w:r>
    </w:p>
    <w:p w14:paraId="791A80D0" w14:textId="005F10C8" w:rsidR="000E1360" w:rsidRDefault="000E1360">
      <w:r>
        <w:br w:type="page"/>
      </w:r>
    </w:p>
    <w:p w14:paraId="5F3E2526" w14:textId="6E23FA78" w:rsidR="00EB27AB" w:rsidRDefault="2E97CD47" w:rsidP="00EB27AB">
      <w:pPr>
        <w:pStyle w:val="Heading1"/>
        <w:rPr>
          <w:rFonts w:eastAsia="Calibri"/>
        </w:rPr>
      </w:pPr>
      <w:bookmarkStart w:id="55" w:name="_Toc88135870"/>
      <w:r w:rsidRPr="0FE62EEC">
        <w:rPr>
          <w:rFonts w:eastAsia="Calibri"/>
        </w:rPr>
        <w:lastRenderedPageBreak/>
        <w:t>APPENDICES</w:t>
      </w:r>
      <w:bookmarkEnd w:id="55"/>
      <w:r w:rsidRPr="0FE62EEC">
        <w:rPr>
          <w:rFonts w:eastAsia="Calibri"/>
        </w:rPr>
        <w:t xml:space="preserve"> </w:t>
      </w:r>
    </w:p>
    <w:p w14:paraId="7867EFDD" w14:textId="77777777" w:rsidR="00CE2F61" w:rsidRPr="00CE2F61" w:rsidRDefault="00CE2F61" w:rsidP="00CE2F61"/>
    <w:p w14:paraId="3EE93649" w14:textId="77777777" w:rsidR="002715BD" w:rsidRPr="00241636" w:rsidRDefault="5D5EC02E" w:rsidP="00CE2F61">
      <w:pPr>
        <w:pStyle w:val="Heading2"/>
      </w:pPr>
      <w:bookmarkStart w:id="56" w:name="_Toc28082415"/>
      <w:bookmarkStart w:id="57" w:name="_Toc55376493"/>
      <w:bookmarkStart w:id="58" w:name="_Toc88135871"/>
      <w:r w:rsidRPr="00241636">
        <w:t>Appendix A: Oxford’s planning policy documents</w:t>
      </w:r>
      <w:bookmarkEnd w:id="56"/>
      <w:bookmarkEnd w:id="57"/>
      <w:bookmarkEnd w:id="58"/>
    </w:p>
    <w:tbl>
      <w:tblPr>
        <w:tblStyle w:val="TableGrid29"/>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729"/>
        <w:gridCol w:w="2287"/>
      </w:tblGrid>
      <w:tr w:rsidR="002715BD" w:rsidRPr="00366228" w14:paraId="6EFD04F4" w14:textId="77777777" w:rsidTr="73C076F8">
        <w:tc>
          <w:tcPr>
            <w:tcW w:w="6729" w:type="dxa"/>
          </w:tcPr>
          <w:p w14:paraId="54E877C9" w14:textId="77777777" w:rsidR="002715BD" w:rsidRPr="00F2387D" w:rsidRDefault="002715BD" w:rsidP="002D63A7">
            <w:pPr>
              <w:spacing w:before="60" w:after="60"/>
              <w:rPr>
                <w:rFonts w:asciiTheme="minorHAnsi" w:hAnsiTheme="minorHAnsi" w:cstheme="minorHAnsi"/>
                <w:b/>
                <w:sz w:val="20"/>
                <w:szCs w:val="21"/>
              </w:rPr>
            </w:pPr>
            <w:r w:rsidRPr="00F2387D">
              <w:rPr>
                <w:rFonts w:asciiTheme="minorHAnsi" w:hAnsiTheme="minorHAnsi" w:cstheme="minorHAnsi"/>
                <w:b/>
                <w:sz w:val="20"/>
                <w:szCs w:val="21"/>
              </w:rPr>
              <w:t>Document</w:t>
            </w:r>
          </w:p>
        </w:tc>
        <w:tc>
          <w:tcPr>
            <w:tcW w:w="2287" w:type="dxa"/>
          </w:tcPr>
          <w:p w14:paraId="75483A99" w14:textId="77777777" w:rsidR="002715BD" w:rsidRPr="00F2387D" w:rsidRDefault="002715BD" w:rsidP="002D63A7">
            <w:pPr>
              <w:spacing w:before="60" w:after="60"/>
              <w:rPr>
                <w:rFonts w:asciiTheme="minorHAnsi" w:hAnsiTheme="minorHAnsi" w:cstheme="minorHAnsi"/>
                <w:b/>
                <w:sz w:val="20"/>
                <w:szCs w:val="21"/>
              </w:rPr>
            </w:pPr>
            <w:r w:rsidRPr="00F2387D">
              <w:rPr>
                <w:rFonts w:asciiTheme="minorHAnsi" w:hAnsiTheme="minorHAnsi" w:cstheme="minorHAnsi"/>
                <w:b/>
                <w:sz w:val="20"/>
                <w:szCs w:val="21"/>
              </w:rPr>
              <w:t>Date of Adoption</w:t>
            </w:r>
          </w:p>
        </w:tc>
      </w:tr>
      <w:tr w:rsidR="002715BD" w:rsidRPr="00366228" w14:paraId="4B32C076" w14:textId="77777777" w:rsidTr="73C076F8">
        <w:tc>
          <w:tcPr>
            <w:tcW w:w="9016" w:type="dxa"/>
            <w:gridSpan w:val="2"/>
            <w:shd w:val="clear" w:color="auto" w:fill="D9D9D9" w:themeFill="background1" w:themeFillShade="D9"/>
          </w:tcPr>
          <w:p w14:paraId="7BB3EAC4" w14:textId="0A6A37F0" w:rsidR="002715BD" w:rsidRPr="00F2387D" w:rsidRDefault="5D5EC02E" w:rsidP="108EF35C">
            <w:pPr>
              <w:spacing w:before="60" w:after="60"/>
              <w:rPr>
                <w:rFonts w:asciiTheme="minorHAnsi" w:hAnsiTheme="minorHAnsi" w:cstheme="minorBidi"/>
                <w:b/>
                <w:bCs/>
                <w:sz w:val="20"/>
                <w:szCs w:val="21"/>
              </w:rPr>
            </w:pPr>
            <w:r w:rsidRPr="00F2387D">
              <w:rPr>
                <w:rFonts w:asciiTheme="minorHAnsi" w:hAnsiTheme="minorHAnsi" w:cstheme="minorBidi"/>
                <w:b/>
                <w:bCs/>
                <w:sz w:val="20"/>
                <w:szCs w:val="21"/>
              </w:rPr>
              <w:t>The</w:t>
            </w:r>
            <w:r w:rsidR="279B8727" w:rsidRPr="00F2387D">
              <w:rPr>
                <w:rFonts w:asciiTheme="minorHAnsi" w:hAnsiTheme="minorHAnsi" w:cstheme="minorBidi"/>
                <w:b/>
                <w:bCs/>
                <w:sz w:val="20"/>
                <w:szCs w:val="21"/>
              </w:rPr>
              <w:t xml:space="preserve"> Development </w:t>
            </w:r>
            <w:r w:rsidRPr="00F2387D">
              <w:rPr>
                <w:rFonts w:asciiTheme="minorHAnsi" w:hAnsiTheme="minorHAnsi" w:cstheme="minorBidi"/>
                <w:b/>
                <w:bCs/>
                <w:sz w:val="20"/>
                <w:szCs w:val="21"/>
              </w:rPr>
              <w:t>Plan</w:t>
            </w:r>
          </w:p>
          <w:p w14:paraId="40425139" w14:textId="77777777" w:rsidR="002715BD" w:rsidRPr="00F2387D" w:rsidRDefault="002715BD" w:rsidP="002D63A7">
            <w:pPr>
              <w:spacing w:before="60" w:after="60"/>
              <w:rPr>
                <w:rFonts w:asciiTheme="minorHAnsi" w:hAnsiTheme="minorHAnsi" w:cstheme="minorHAnsi"/>
                <w:b/>
                <w:sz w:val="20"/>
                <w:szCs w:val="21"/>
              </w:rPr>
            </w:pPr>
            <w:r w:rsidRPr="00F2387D">
              <w:rPr>
                <w:rFonts w:asciiTheme="minorHAnsi" w:hAnsiTheme="minorHAnsi" w:cstheme="minorHAnsi"/>
                <w:sz w:val="20"/>
                <w:szCs w:val="21"/>
              </w:rPr>
              <w:t>This includes a number of policy documents that have been prepared and adopted separately.</w:t>
            </w:r>
          </w:p>
        </w:tc>
      </w:tr>
      <w:tr w:rsidR="108EF35C" w14:paraId="5FE23FCA" w14:textId="77777777" w:rsidTr="73C076F8">
        <w:tc>
          <w:tcPr>
            <w:tcW w:w="6729" w:type="dxa"/>
          </w:tcPr>
          <w:p w14:paraId="7BB7BB30" w14:textId="541B30FC" w:rsidR="108EF35C" w:rsidRPr="00F2387D" w:rsidRDefault="00F75A5C" w:rsidP="008434E7">
            <w:pPr>
              <w:spacing w:before="60" w:after="60"/>
              <w:rPr>
                <w:rFonts w:asciiTheme="minorHAnsi" w:hAnsiTheme="minorHAnsi" w:cstheme="minorBidi"/>
                <w:sz w:val="20"/>
                <w:szCs w:val="21"/>
              </w:rPr>
            </w:pPr>
            <w:hyperlink r:id="rId26" w:history="1">
              <w:r w:rsidR="30C78A8A" w:rsidRPr="00F2387D">
                <w:rPr>
                  <w:rStyle w:val="Hyperlink"/>
                  <w:rFonts w:asciiTheme="minorHAnsi" w:hAnsiTheme="minorHAnsi" w:cstheme="minorBidi"/>
                  <w:sz w:val="20"/>
                  <w:szCs w:val="21"/>
                </w:rPr>
                <w:t>Oxford Local Plan 2036 &amp; Policies Map</w:t>
              </w:r>
            </w:hyperlink>
          </w:p>
        </w:tc>
        <w:tc>
          <w:tcPr>
            <w:tcW w:w="2287" w:type="dxa"/>
          </w:tcPr>
          <w:p w14:paraId="0927EC5A" w14:textId="7E13C9C9" w:rsidR="30C78A8A" w:rsidRPr="00F2387D" w:rsidRDefault="30C78A8A" w:rsidP="108EF35C">
            <w:pPr>
              <w:rPr>
                <w:rFonts w:asciiTheme="minorHAnsi" w:hAnsiTheme="minorHAnsi" w:cstheme="minorBidi"/>
                <w:sz w:val="20"/>
                <w:szCs w:val="21"/>
              </w:rPr>
            </w:pPr>
            <w:r w:rsidRPr="00F2387D">
              <w:rPr>
                <w:rFonts w:asciiTheme="minorHAnsi" w:hAnsiTheme="minorHAnsi" w:cstheme="minorBidi"/>
                <w:sz w:val="20"/>
                <w:szCs w:val="21"/>
              </w:rPr>
              <w:t>June 2020</w:t>
            </w:r>
          </w:p>
        </w:tc>
      </w:tr>
      <w:tr w:rsidR="002715BD" w:rsidRPr="00366228" w14:paraId="1CB3F659" w14:textId="77777777" w:rsidTr="73C076F8">
        <w:tc>
          <w:tcPr>
            <w:tcW w:w="6729" w:type="dxa"/>
          </w:tcPr>
          <w:p w14:paraId="51D788DB" w14:textId="3A518AE3" w:rsidR="002715BD" w:rsidRPr="00F2387D" w:rsidRDefault="00F75A5C" w:rsidP="108EF35C">
            <w:pPr>
              <w:spacing w:before="60" w:after="60"/>
              <w:rPr>
                <w:rFonts w:asciiTheme="minorHAnsi" w:hAnsiTheme="minorHAnsi" w:cstheme="minorBidi"/>
                <w:sz w:val="20"/>
                <w:szCs w:val="21"/>
                <w:highlight w:val="green"/>
              </w:rPr>
            </w:pPr>
            <w:hyperlink r:id="rId27" w:history="1">
              <w:r w:rsidR="5D5EC02E" w:rsidRPr="00F2387D">
                <w:rPr>
                  <w:rStyle w:val="Hyperlink"/>
                  <w:rFonts w:asciiTheme="minorHAnsi" w:hAnsiTheme="minorHAnsi" w:cstheme="minorBidi"/>
                  <w:sz w:val="20"/>
                  <w:szCs w:val="21"/>
                </w:rPr>
                <w:t>Northern Gateway Area Action Plan</w:t>
              </w:r>
            </w:hyperlink>
          </w:p>
        </w:tc>
        <w:tc>
          <w:tcPr>
            <w:tcW w:w="2287" w:type="dxa"/>
          </w:tcPr>
          <w:p w14:paraId="54AA19FE" w14:textId="77777777" w:rsidR="002715BD" w:rsidRPr="00F2387D" w:rsidRDefault="5D5EC02E" w:rsidP="108EF35C">
            <w:pPr>
              <w:spacing w:before="60" w:after="60"/>
              <w:rPr>
                <w:rFonts w:asciiTheme="minorHAnsi" w:hAnsiTheme="minorHAnsi" w:cstheme="minorBidi"/>
                <w:sz w:val="20"/>
                <w:szCs w:val="21"/>
              </w:rPr>
            </w:pPr>
            <w:r w:rsidRPr="00F2387D">
              <w:rPr>
                <w:rFonts w:asciiTheme="minorHAnsi" w:hAnsiTheme="minorHAnsi" w:cstheme="minorBidi"/>
                <w:sz w:val="20"/>
                <w:szCs w:val="21"/>
              </w:rPr>
              <w:t>July 2015</w:t>
            </w:r>
          </w:p>
        </w:tc>
      </w:tr>
      <w:tr w:rsidR="002715BD" w:rsidRPr="00366228" w14:paraId="24063772" w14:textId="77777777" w:rsidTr="73C076F8">
        <w:tc>
          <w:tcPr>
            <w:tcW w:w="6729" w:type="dxa"/>
          </w:tcPr>
          <w:p w14:paraId="3EFE7C57" w14:textId="6D272823" w:rsidR="002715BD" w:rsidRPr="008434E7" w:rsidRDefault="00F75A5C" w:rsidP="108EF35C">
            <w:pPr>
              <w:spacing w:before="60" w:after="60"/>
              <w:rPr>
                <w:rStyle w:val="Hyperlink"/>
              </w:rPr>
            </w:pPr>
            <w:hyperlink r:id="rId28" w:history="1">
              <w:r w:rsidR="5D5EC02E" w:rsidRPr="00F2387D">
                <w:rPr>
                  <w:rStyle w:val="Hyperlink"/>
                  <w:rFonts w:asciiTheme="minorHAnsi" w:hAnsiTheme="minorHAnsi" w:cstheme="minorBidi"/>
                  <w:sz w:val="20"/>
                  <w:szCs w:val="21"/>
                </w:rPr>
                <w:t>Barton Area Action Plan</w:t>
              </w:r>
            </w:hyperlink>
          </w:p>
        </w:tc>
        <w:tc>
          <w:tcPr>
            <w:tcW w:w="2287" w:type="dxa"/>
          </w:tcPr>
          <w:p w14:paraId="43F4DE70" w14:textId="77777777" w:rsidR="002715BD" w:rsidRPr="00F2387D" w:rsidRDefault="5D5EC02E" w:rsidP="108EF35C">
            <w:pPr>
              <w:spacing w:before="60" w:after="60"/>
              <w:rPr>
                <w:rFonts w:asciiTheme="minorHAnsi" w:hAnsiTheme="minorHAnsi" w:cstheme="minorBidi"/>
                <w:sz w:val="20"/>
                <w:szCs w:val="21"/>
              </w:rPr>
            </w:pPr>
            <w:r w:rsidRPr="00F2387D">
              <w:rPr>
                <w:rFonts w:asciiTheme="minorHAnsi" w:hAnsiTheme="minorHAnsi" w:cstheme="minorBidi"/>
                <w:sz w:val="20"/>
                <w:szCs w:val="21"/>
              </w:rPr>
              <w:t>December 2012</w:t>
            </w:r>
          </w:p>
        </w:tc>
      </w:tr>
      <w:tr w:rsidR="108EF35C" w14:paraId="55D097DC" w14:textId="77777777" w:rsidTr="73C076F8">
        <w:tc>
          <w:tcPr>
            <w:tcW w:w="6729" w:type="dxa"/>
          </w:tcPr>
          <w:p w14:paraId="00A4A79A" w14:textId="3A119674" w:rsidR="349A235B" w:rsidRPr="008434E7" w:rsidRDefault="00F75A5C" w:rsidP="008434E7">
            <w:pPr>
              <w:spacing w:before="60" w:after="60"/>
              <w:rPr>
                <w:rStyle w:val="Hyperlink"/>
              </w:rPr>
            </w:pPr>
            <w:hyperlink r:id="rId29" w:history="1">
              <w:r w:rsidR="349A235B" w:rsidRPr="00F2387D">
                <w:rPr>
                  <w:rStyle w:val="Hyperlink"/>
                  <w:rFonts w:asciiTheme="minorHAnsi" w:hAnsiTheme="minorHAnsi" w:cstheme="minorBidi"/>
                  <w:sz w:val="20"/>
                  <w:szCs w:val="21"/>
                </w:rPr>
                <w:t xml:space="preserve">Headington </w:t>
              </w:r>
              <w:r w:rsidR="7B46A1B7" w:rsidRPr="00F2387D">
                <w:rPr>
                  <w:rStyle w:val="Hyperlink"/>
                  <w:rFonts w:asciiTheme="minorHAnsi" w:hAnsiTheme="minorHAnsi" w:cstheme="minorBidi"/>
                  <w:sz w:val="20"/>
                  <w:szCs w:val="21"/>
                </w:rPr>
                <w:t>N</w:t>
              </w:r>
              <w:r w:rsidR="349A235B" w:rsidRPr="00F2387D">
                <w:rPr>
                  <w:rStyle w:val="Hyperlink"/>
                  <w:rFonts w:asciiTheme="minorHAnsi" w:hAnsiTheme="minorHAnsi" w:cstheme="minorBidi"/>
                  <w:sz w:val="20"/>
                  <w:szCs w:val="21"/>
                </w:rPr>
                <w:t>eighbourhood Plan</w:t>
              </w:r>
            </w:hyperlink>
          </w:p>
        </w:tc>
        <w:tc>
          <w:tcPr>
            <w:tcW w:w="2287" w:type="dxa"/>
          </w:tcPr>
          <w:p w14:paraId="7E142384" w14:textId="6964CEA8" w:rsidR="69E1DD85" w:rsidRPr="00F2387D" w:rsidRDefault="69E1DD85" w:rsidP="108EF35C">
            <w:pPr>
              <w:rPr>
                <w:rFonts w:asciiTheme="minorHAnsi" w:hAnsiTheme="minorHAnsi" w:cstheme="minorBidi"/>
                <w:sz w:val="20"/>
                <w:szCs w:val="21"/>
              </w:rPr>
            </w:pPr>
            <w:r w:rsidRPr="00F2387D">
              <w:rPr>
                <w:rFonts w:asciiTheme="minorHAnsi" w:hAnsiTheme="minorHAnsi" w:cstheme="minorBidi"/>
                <w:sz w:val="20"/>
                <w:szCs w:val="21"/>
              </w:rPr>
              <w:t>July 2017</w:t>
            </w:r>
          </w:p>
        </w:tc>
      </w:tr>
      <w:tr w:rsidR="108EF35C" w14:paraId="6263851B" w14:textId="77777777" w:rsidTr="73C076F8">
        <w:tc>
          <w:tcPr>
            <w:tcW w:w="6729" w:type="dxa"/>
          </w:tcPr>
          <w:p w14:paraId="26DA3947" w14:textId="33D3817C" w:rsidR="108EF35C" w:rsidRPr="008434E7" w:rsidRDefault="00F75A5C" w:rsidP="008434E7">
            <w:pPr>
              <w:spacing w:before="60" w:after="60"/>
              <w:rPr>
                <w:rStyle w:val="Hyperlink"/>
              </w:rPr>
            </w:pPr>
            <w:hyperlink r:id="rId30" w:history="1">
              <w:r w:rsidR="009F4D03" w:rsidRPr="00F2387D">
                <w:rPr>
                  <w:rStyle w:val="Hyperlink"/>
                  <w:rFonts w:asciiTheme="minorHAnsi" w:hAnsiTheme="minorHAnsi" w:cstheme="minorBidi"/>
                  <w:sz w:val="20"/>
                  <w:szCs w:val="21"/>
                </w:rPr>
                <w:t>Summertown and St Margaret</w:t>
              </w:r>
              <w:r w:rsidR="00397B49" w:rsidRPr="00F2387D">
                <w:rPr>
                  <w:rStyle w:val="Hyperlink"/>
                  <w:rFonts w:asciiTheme="minorHAnsi" w:hAnsiTheme="minorHAnsi" w:cstheme="minorBidi"/>
                  <w:sz w:val="20"/>
                  <w:szCs w:val="21"/>
                </w:rPr>
                <w:t>’</w:t>
              </w:r>
              <w:r w:rsidR="009F4D03" w:rsidRPr="00F2387D">
                <w:rPr>
                  <w:rStyle w:val="Hyperlink"/>
                  <w:rFonts w:asciiTheme="minorHAnsi" w:hAnsiTheme="minorHAnsi" w:cstheme="minorBidi"/>
                  <w:sz w:val="20"/>
                  <w:szCs w:val="21"/>
                </w:rPr>
                <w:t>s Neighbourhood Plan</w:t>
              </w:r>
            </w:hyperlink>
          </w:p>
        </w:tc>
        <w:tc>
          <w:tcPr>
            <w:tcW w:w="2287" w:type="dxa"/>
          </w:tcPr>
          <w:p w14:paraId="2F3302CF" w14:textId="31F1BD5F" w:rsidR="009F4D03" w:rsidRPr="00F2387D" w:rsidRDefault="009F4D03" w:rsidP="108EF35C">
            <w:pPr>
              <w:rPr>
                <w:rFonts w:asciiTheme="minorHAnsi" w:hAnsiTheme="minorHAnsi" w:cstheme="minorBidi"/>
                <w:sz w:val="20"/>
                <w:szCs w:val="21"/>
              </w:rPr>
            </w:pPr>
            <w:r w:rsidRPr="00F2387D">
              <w:rPr>
                <w:rFonts w:asciiTheme="minorHAnsi" w:hAnsiTheme="minorHAnsi" w:cstheme="minorBidi"/>
                <w:sz w:val="20"/>
                <w:szCs w:val="21"/>
              </w:rPr>
              <w:t>April 2019</w:t>
            </w:r>
          </w:p>
        </w:tc>
      </w:tr>
      <w:tr w:rsidR="108EF35C" w14:paraId="06FB22F1" w14:textId="77777777" w:rsidTr="73C076F8">
        <w:tc>
          <w:tcPr>
            <w:tcW w:w="6729" w:type="dxa"/>
          </w:tcPr>
          <w:p w14:paraId="3D7AFDD3" w14:textId="211E3FFB" w:rsidR="6FC441C7" w:rsidRPr="008434E7" w:rsidRDefault="00F75A5C" w:rsidP="008434E7">
            <w:pPr>
              <w:spacing w:before="60" w:after="60"/>
              <w:rPr>
                <w:rStyle w:val="Hyperlink"/>
              </w:rPr>
            </w:pPr>
            <w:hyperlink r:id="rId31" w:history="1">
              <w:proofErr w:type="spellStart"/>
              <w:r w:rsidR="6FC441C7" w:rsidRPr="00F2387D">
                <w:rPr>
                  <w:rStyle w:val="Hyperlink"/>
                  <w:rFonts w:asciiTheme="minorHAnsi" w:hAnsiTheme="minorHAnsi" w:cstheme="minorBidi"/>
                  <w:sz w:val="20"/>
                  <w:szCs w:val="21"/>
                </w:rPr>
                <w:t>Wolvercote</w:t>
              </w:r>
              <w:proofErr w:type="spellEnd"/>
              <w:r w:rsidR="6FC441C7" w:rsidRPr="00F2387D">
                <w:rPr>
                  <w:rStyle w:val="Hyperlink"/>
                  <w:rFonts w:asciiTheme="minorHAnsi" w:hAnsiTheme="minorHAnsi" w:cstheme="minorBidi"/>
                  <w:sz w:val="20"/>
                  <w:szCs w:val="21"/>
                </w:rPr>
                <w:t xml:space="preserve"> Neighbourhood Plan</w:t>
              </w:r>
            </w:hyperlink>
          </w:p>
        </w:tc>
        <w:tc>
          <w:tcPr>
            <w:tcW w:w="2287" w:type="dxa"/>
          </w:tcPr>
          <w:p w14:paraId="3E045798" w14:textId="2C0620E5" w:rsidR="69EF15AD" w:rsidRPr="00F2387D" w:rsidRDefault="69EF15AD" w:rsidP="108EF35C">
            <w:pPr>
              <w:rPr>
                <w:rFonts w:asciiTheme="minorHAnsi" w:hAnsiTheme="minorHAnsi" w:cstheme="minorBidi"/>
                <w:sz w:val="20"/>
                <w:szCs w:val="21"/>
              </w:rPr>
            </w:pPr>
            <w:r w:rsidRPr="00F2387D">
              <w:rPr>
                <w:rFonts w:asciiTheme="minorHAnsi" w:hAnsiTheme="minorHAnsi" w:cstheme="minorBidi"/>
                <w:sz w:val="20"/>
                <w:szCs w:val="21"/>
              </w:rPr>
              <w:t>May 2021</w:t>
            </w:r>
          </w:p>
        </w:tc>
      </w:tr>
      <w:tr w:rsidR="002715BD" w:rsidRPr="00366228" w14:paraId="6C1EA750" w14:textId="77777777" w:rsidTr="73C076F8">
        <w:tc>
          <w:tcPr>
            <w:tcW w:w="9016" w:type="dxa"/>
            <w:gridSpan w:val="2"/>
            <w:shd w:val="clear" w:color="auto" w:fill="D9D9D9" w:themeFill="background1" w:themeFillShade="D9"/>
          </w:tcPr>
          <w:p w14:paraId="25C405C9" w14:textId="77777777" w:rsidR="002715BD" w:rsidRPr="00F2387D" w:rsidRDefault="002715BD" w:rsidP="002D63A7">
            <w:pPr>
              <w:spacing w:before="60" w:after="60"/>
              <w:rPr>
                <w:rFonts w:asciiTheme="minorHAnsi" w:hAnsiTheme="minorHAnsi" w:cstheme="minorHAnsi"/>
                <w:b/>
                <w:sz w:val="20"/>
                <w:szCs w:val="21"/>
              </w:rPr>
            </w:pPr>
            <w:r w:rsidRPr="00F2387D">
              <w:rPr>
                <w:rFonts w:asciiTheme="minorHAnsi" w:hAnsiTheme="minorHAnsi" w:cstheme="minorHAnsi"/>
                <w:b/>
                <w:sz w:val="20"/>
                <w:szCs w:val="21"/>
              </w:rPr>
              <w:t>Supplementary Planning Documents (SPDs)</w:t>
            </w:r>
          </w:p>
        </w:tc>
      </w:tr>
      <w:tr w:rsidR="002715BD" w:rsidRPr="00366228" w14:paraId="01CABB04" w14:textId="77777777" w:rsidTr="73C076F8">
        <w:tc>
          <w:tcPr>
            <w:tcW w:w="6729" w:type="dxa"/>
          </w:tcPr>
          <w:p w14:paraId="068E552E" w14:textId="77777777" w:rsidR="002715BD" w:rsidRPr="00F2387D" w:rsidRDefault="00F75A5C" w:rsidP="002D63A7">
            <w:pPr>
              <w:spacing w:before="60" w:after="60"/>
              <w:rPr>
                <w:rFonts w:ascii="Calibri" w:hAnsi="Calibri" w:cs="Calibri"/>
                <w:sz w:val="20"/>
                <w:szCs w:val="21"/>
              </w:rPr>
            </w:pPr>
            <w:hyperlink r:id="rId32" w:history="1">
              <w:r w:rsidR="002715BD" w:rsidRPr="00F2387D">
                <w:rPr>
                  <w:rStyle w:val="Hyperlink"/>
                  <w:rFonts w:ascii="Calibri" w:hAnsi="Calibri" w:cs="Calibri"/>
                  <w:sz w:val="20"/>
                  <w:szCs w:val="21"/>
                </w:rPr>
                <w:t>Diamond Place SPD</w:t>
              </w:r>
            </w:hyperlink>
          </w:p>
        </w:tc>
        <w:tc>
          <w:tcPr>
            <w:tcW w:w="2287" w:type="dxa"/>
          </w:tcPr>
          <w:p w14:paraId="1D668A0C"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July 2015</w:t>
            </w:r>
          </w:p>
        </w:tc>
      </w:tr>
      <w:tr w:rsidR="002715BD" w:rsidRPr="00366228" w14:paraId="6D1CEFE9" w14:textId="77777777" w:rsidTr="73C076F8">
        <w:tc>
          <w:tcPr>
            <w:tcW w:w="6729" w:type="dxa"/>
          </w:tcPr>
          <w:p w14:paraId="597534F6" w14:textId="77777777" w:rsidR="002715BD" w:rsidRPr="00F2387D" w:rsidRDefault="00F75A5C" w:rsidP="002D63A7">
            <w:pPr>
              <w:spacing w:before="60" w:after="60"/>
              <w:rPr>
                <w:rFonts w:ascii="Calibri" w:hAnsi="Calibri" w:cs="Calibri"/>
                <w:sz w:val="20"/>
                <w:szCs w:val="21"/>
              </w:rPr>
            </w:pPr>
            <w:hyperlink r:id="rId33" w:history="1">
              <w:r w:rsidR="002715BD" w:rsidRPr="00F2387D">
                <w:rPr>
                  <w:rStyle w:val="Hyperlink"/>
                  <w:rFonts w:ascii="Calibri" w:hAnsi="Calibri" w:cs="Calibri"/>
                  <w:sz w:val="20"/>
                  <w:szCs w:val="21"/>
                </w:rPr>
                <w:t xml:space="preserve">Jericho </w:t>
              </w:r>
              <w:proofErr w:type="spellStart"/>
              <w:r w:rsidR="002715BD" w:rsidRPr="00F2387D">
                <w:rPr>
                  <w:rStyle w:val="Hyperlink"/>
                  <w:rFonts w:ascii="Calibri" w:hAnsi="Calibri" w:cs="Calibri"/>
                  <w:sz w:val="20"/>
                  <w:szCs w:val="21"/>
                </w:rPr>
                <w:t>Canalside</w:t>
              </w:r>
              <w:proofErr w:type="spellEnd"/>
              <w:r w:rsidR="002715BD" w:rsidRPr="00F2387D">
                <w:rPr>
                  <w:rStyle w:val="Hyperlink"/>
                  <w:rFonts w:ascii="Calibri" w:hAnsi="Calibri" w:cs="Calibri"/>
                  <w:sz w:val="20"/>
                  <w:szCs w:val="21"/>
                </w:rPr>
                <w:t xml:space="preserve"> SPD</w:t>
              </w:r>
            </w:hyperlink>
          </w:p>
        </w:tc>
        <w:tc>
          <w:tcPr>
            <w:tcW w:w="2287" w:type="dxa"/>
          </w:tcPr>
          <w:p w14:paraId="007D972B"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December 2013</w:t>
            </w:r>
          </w:p>
        </w:tc>
      </w:tr>
      <w:tr w:rsidR="002715BD" w:rsidRPr="00366228" w14:paraId="5C859BEE" w14:textId="77777777" w:rsidTr="73C076F8">
        <w:tc>
          <w:tcPr>
            <w:tcW w:w="6729" w:type="dxa"/>
          </w:tcPr>
          <w:p w14:paraId="06516DB9" w14:textId="65AAE105" w:rsidR="002715BD" w:rsidRPr="00F2387D" w:rsidRDefault="00F75A5C" w:rsidP="108EF35C">
            <w:pPr>
              <w:spacing w:before="60" w:after="60"/>
              <w:rPr>
                <w:rFonts w:ascii="Calibri" w:hAnsi="Calibri" w:cs="Calibri"/>
                <w:sz w:val="20"/>
                <w:szCs w:val="21"/>
              </w:rPr>
            </w:pPr>
            <w:hyperlink r:id="rId34" w:history="1">
              <w:proofErr w:type="spellStart"/>
              <w:r w:rsidR="5D5EC02E" w:rsidRPr="00F2387D">
                <w:rPr>
                  <w:rStyle w:val="Hyperlink"/>
                  <w:rFonts w:ascii="Calibri" w:hAnsi="Calibri" w:cs="Calibri"/>
                  <w:sz w:val="20"/>
                  <w:szCs w:val="21"/>
                </w:rPr>
                <w:t>Oxpens</w:t>
              </w:r>
              <w:proofErr w:type="spellEnd"/>
              <w:r w:rsidR="5D5EC02E" w:rsidRPr="00F2387D">
                <w:rPr>
                  <w:rStyle w:val="Hyperlink"/>
                  <w:rFonts w:ascii="Calibri" w:hAnsi="Calibri" w:cs="Calibri"/>
                  <w:sz w:val="20"/>
                  <w:szCs w:val="21"/>
                </w:rPr>
                <w:t xml:space="preserve"> Master Plan SPD</w:t>
              </w:r>
            </w:hyperlink>
          </w:p>
        </w:tc>
        <w:tc>
          <w:tcPr>
            <w:tcW w:w="2287" w:type="dxa"/>
          </w:tcPr>
          <w:p w14:paraId="7CEAF352"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November 2013</w:t>
            </w:r>
          </w:p>
        </w:tc>
      </w:tr>
      <w:tr w:rsidR="108EF35C" w14:paraId="3D2FE903" w14:textId="77777777" w:rsidTr="73C076F8">
        <w:tc>
          <w:tcPr>
            <w:tcW w:w="6729" w:type="dxa"/>
          </w:tcPr>
          <w:p w14:paraId="202361AE" w14:textId="281A3B2F" w:rsidR="11DD37F4" w:rsidRPr="008434E7" w:rsidRDefault="00F75A5C" w:rsidP="008434E7">
            <w:pPr>
              <w:spacing w:before="60" w:after="60"/>
              <w:rPr>
                <w:rStyle w:val="Hyperlink"/>
              </w:rPr>
            </w:pPr>
            <w:hyperlink r:id="rId35" w:history="1">
              <w:r w:rsidR="11DD37F4" w:rsidRPr="00F2387D">
                <w:rPr>
                  <w:rStyle w:val="Hyperlink"/>
                  <w:rFonts w:ascii="Calibri" w:hAnsi="Calibri" w:cs="Calibri"/>
                  <w:sz w:val="20"/>
                  <w:szCs w:val="21"/>
                </w:rPr>
                <w:t>Oxford Station SPD</w:t>
              </w:r>
            </w:hyperlink>
          </w:p>
        </w:tc>
        <w:tc>
          <w:tcPr>
            <w:tcW w:w="2287" w:type="dxa"/>
          </w:tcPr>
          <w:p w14:paraId="3ED75225" w14:textId="35F1EA42" w:rsidR="11DD37F4" w:rsidRPr="00F2387D" w:rsidRDefault="11DD37F4" w:rsidP="108EF35C">
            <w:pPr>
              <w:rPr>
                <w:rFonts w:asciiTheme="minorHAnsi" w:hAnsiTheme="minorHAnsi" w:cstheme="minorBidi"/>
                <w:sz w:val="20"/>
                <w:szCs w:val="21"/>
              </w:rPr>
            </w:pPr>
            <w:r w:rsidRPr="00F2387D">
              <w:rPr>
                <w:rFonts w:asciiTheme="minorHAnsi" w:hAnsiTheme="minorHAnsi" w:cstheme="minorBidi"/>
                <w:sz w:val="20"/>
                <w:szCs w:val="21"/>
              </w:rPr>
              <w:t>November 2013</w:t>
            </w:r>
          </w:p>
        </w:tc>
      </w:tr>
      <w:tr w:rsidR="002715BD" w:rsidRPr="00366228" w14:paraId="2AB9FFA6" w14:textId="77777777" w:rsidTr="73C076F8">
        <w:tc>
          <w:tcPr>
            <w:tcW w:w="9016" w:type="dxa"/>
            <w:gridSpan w:val="2"/>
            <w:shd w:val="clear" w:color="auto" w:fill="D9D9D9" w:themeFill="background1" w:themeFillShade="D9"/>
          </w:tcPr>
          <w:p w14:paraId="1FA8D32C" w14:textId="77777777" w:rsidR="002715BD" w:rsidRPr="00F2387D" w:rsidRDefault="002715BD" w:rsidP="002D63A7">
            <w:pPr>
              <w:spacing w:before="60" w:after="60"/>
              <w:rPr>
                <w:rFonts w:asciiTheme="minorHAnsi" w:hAnsiTheme="minorHAnsi" w:cstheme="minorHAnsi"/>
                <w:b/>
                <w:sz w:val="20"/>
                <w:szCs w:val="21"/>
                <w:highlight w:val="yellow"/>
              </w:rPr>
            </w:pPr>
            <w:r w:rsidRPr="00F2387D">
              <w:rPr>
                <w:rFonts w:asciiTheme="minorHAnsi" w:hAnsiTheme="minorHAnsi" w:cstheme="minorHAnsi"/>
                <w:b/>
                <w:sz w:val="20"/>
                <w:szCs w:val="21"/>
              </w:rPr>
              <w:t>Technical Advice Notes (TANs)</w:t>
            </w:r>
          </w:p>
        </w:tc>
      </w:tr>
      <w:tr w:rsidR="002715BD" w:rsidRPr="00366228" w14:paraId="14F44B98" w14:textId="77777777" w:rsidTr="73C076F8">
        <w:tc>
          <w:tcPr>
            <w:tcW w:w="6729" w:type="dxa"/>
          </w:tcPr>
          <w:p w14:paraId="3C9153C7" w14:textId="77777777" w:rsidR="002715BD" w:rsidRPr="00F2387D" w:rsidRDefault="00F75A5C" w:rsidP="002D63A7">
            <w:pPr>
              <w:spacing w:before="60" w:after="60"/>
              <w:rPr>
                <w:rFonts w:ascii="Calibri" w:hAnsi="Calibri" w:cs="Calibri"/>
                <w:sz w:val="20"/>
                <w:szCs w:val="21"/>
              </w:rPr>
            </w:pPr>
            <w:hyperlink r:id="rId36" w:history="1">
              <w:r w:rsidR="002715BD" w:rsidRPr="00F2387D">
                <w:rPr>
                  <w:rStyle w:val="Hyperlink"/>
                  <w:rFonts w:ascii="Calibri" w:hAnsi="Calibri" w:cs="Calibri"/>
                  <w:sz w:val="20"/>
                  <w:szCs w:val="21"/>
                </w:rPr>
                <w:t>TAN 1: Housing</w:t>
              </w:r>
            </w:hyperlink>
          </w:p>
        </w:tc>
        <w:tc>
          <w:tcPr>
            <w:tcW w:w="2287" w:type="dxa"/>
          </w:tcPr>
          <w:p w14:paraId="2E47D648"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January 2021</w:t>
            </w:r>
          </w:p>
        </w:tc>
      </w:tr>
      <w:tr w:rsidR="002715BD" w:rsidRPr="00366228" w14:paraId="0A8DB11B" w14:textId="77777777" w:rsidTr="73C076F8">
        <w:tc>
          <w:tcPr>
            <w:tcW w:w="6729" w:type="dxa"/>
          </w:tcPr>
          <w:p w14:paraId="7B04CBF9" w14:textId="77777777" w:rsidR="002715BD" w:rsidRPr="00F2387D" w:rsidRDefault="00F75A5C" w:rsidP="002D63A7">
            <w:pPr>
              <w:spacing w:before="60" w:after="60"/>
              <w:rPr>
                <w:rFonts w:ascii="Calibri" w:hAnsi="Calibri" w:cs="Calibri"/>
                <w:sz w:val="20"/>
                <w:szCs w:val="21"/>
              </w:rPr>
            </w:pPr>
            <w:hyperlink r:id="rId37" w:history="1">
              <w:r w:rsidR="002715BD" w:rsidRPr="00F2387D">
                <w:rPr>
                  <w:rStyle w:val="Hyperlink"/>
                  <w:rFonts w:ascii="Calibri" w:hAnsi="Calibri" w:cs="Calibri"/>
                  <w:sz w:val="20"/>
                  <w:szCs w:val="21"/>
                </w:rPr>
                <w:t>TAN 2: Employment and Skills</w:t>
              </w:r>
            </w:hyperlink>
          </w:p>
        </w:tc>
        <w:tc>
          <w:tcPr>
            <w:tcW w:w="2287" w:type="dxa"/>
          </w:tcPr>
          <w:p w14:paraId="021213C9"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May 2021</w:t>
            </w:r>
          </w:p>
        </w:tc>
      </w:tr>
      <w:tr w:rsidR="002715BD" w:rsidRPr="00366228" w14:paraId="2D9918CF" w14:textId="77777777" w:rsidTr="73C076F8">
        <w:tc>
          <w:tcPr>
            <w:tcW w:w="6729" w:type="dxa"/>
          </w:tcPr>
          <w:p w14:paraId="78D01D4B" w14:textId="77777777" w:rsidR="002715BD" w:rsidRPr="00F2387D" w:rsidRDefault="00F75A5C" w:rsidP="002D63A7">
            <w:pPr>
              <w:spacing w:before="60" w:after="60"/>
              <w:rPr>
                <w:rFonts w:ascii="Calibri" w:hAnsi="Calibri" w:cs="Calibri"/>
                <w:sz w:val="20"/>
                <w:szCs w:val="21"/>
              </w:rPr>
            </w:pPr>
            <w:hyperlink r:id="rId38" w:history="1">
              <w:r w:rsidR="002715BD" w:rsidRPr="00F2387D">
                <w:rPr>
                  <w:rStyle w:val="Hyperlink"/>
                  <w:rFonts w:ascii="Calibri" w:hAnsi="Calibri" w:cs="Calibri"/>
                  <w:sz w:val="20"/>
                  <w:szCs w:val="21"/>
                </w:rPr>
                <w:t>TAN 3: Waste Storage</w:t>
              </w:r>
            </w:hyperlink>
            <w:r w:rsidR="002715BD" w:rsidRPr="00F2387D">
              <w:rPr>
                <w:rFonts w:ascii="Calibri" w:hAnsi="Calibri" w:cs="Calibri"/>
                <w:sz w:val="20"/>
                <w:szCs w:val="21"/>
              </w:rPr>
              <w:t xml:space="preserve"> </w:t>
            </w:r>
          </w:p>
        </w:tc>
        <w:tc>
          <w:tcPr>
            <w:tcW w:w="2287" w:type="dxa"/>
          </w:tcPr>
          <w:p w14:paraId="6300B7D4"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January 2021</w:t>
            </w:r>
          </w:p>
        </w:tc>
      </w:tr>
      <w:tr w:rsidR="002715BD" w:rsidRPr="00366228" w14:paraId="3BB2720A" w14:textId="77777777" w:rsidTr="73C076F8">
        <w:tc>
          <w:tcPr>
            <w:tcW w:w="6729" w:type="dxa"/>
          </w:tcPr>
          <w:p w14:paraId="65597A0A" w14:textId="77777777" w:rsidR="002715BD" w:rsidRPr="00F2387D" w:rsidRDefault="00F75A5C" w:rsidP="002D63A7">
            <w:pPr>
              <w:spacing w:before="60" w:after="60"/>
              <w:rPr>
                <w:rFonts w:ascii="Calibri" w:hAnsi="Calibri" w:cs="Calibri"/>
                <w:sz w:val="20"/>
                <w:szCs w:val="21"/>
              </w:rPr>
            </w:pPr>
            <w:hyperlink r:id="rId39" w:history="1">
              <w:r w:rsidR="002715BD" w:rsidRPr="00F2387D">
                <w:rPr>
                  <w:rStyle w:val="Hyperlink"/>
                  <w:rFonts w:ascii="Calibri" w:hAnsi="Calibri" w:cs="Calibri"/>
                  <w:sz w:val="20"/>
                  <w:szCs w:val="21"/>
                </w:rPr>
                <w:t>TAN 4: Community Pubs</w:t>
              </w:r>
            </w:hyperlink>
          </w:p>
        </w:tc>
        <w:tc>
          <w:tcPr>
            <w:tcW w:w="2287" w:type="dxa"/>
          </w:tcPr>
          <w:p w14:paraId="34ABBE5B"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December 2020</w:t>
            </w:r>
          </w:p>
        </w:tc>
      </w:tr>
      <w:tr w:rsidR="002715BD" w:rsidRPr="00366228" w14:paraId="3C6CFC78" w14:textId="77777777" w:rsidTr="73C076F8">
        <w:tc>
          <w:tcPr>
            <w:tcW w:w="6729" w:type="dxa"/>
          </w:tcPr>
          <w:p w14:paraId="47CDC053" w14:textId="77777777" w:rsidR="002715BD" w:rsidRPr="00F2387D" w:rsidRDefault="00F75A5C" w:rsidP="002D63A7">
            <w:pPr>
              <w:spacing w:before="60" w:after="60"/>
              <w:rPr>
                <w:rFonts w:ascii="Calibri" w:hAnsi="Calibri" w:cs="Calibri"/>
                <w:sz w:val="20"/>
                <w:szCs w:val="21"/>
              </w:rPr>
            </w:pPr>
            <w:hyperlink r:id="rId40" w:history="1">
              <w:r w:rsidR="002715BD" w:rsidRPr="00F2387D">
                <w:rPr>
                  <w:rStyle w:val="Hyperlink"/>
                  <w:rFonts w:ascii="Calibri" w:hAnsi="Calibri" w:cs="Calibri"/>
                  <w:sz w:val="20"/>
                  <w:szCs w:val="21"/>
                </w:rPr>
                <w:t>TAN 5: Health Impact Assessments</w:t>
              </w:r>
            </w:hyperlink>
            <w:r w:rsidR="002715BD" w:rsidRPr="00F2387D">
              <w:rPr>
                <w:rFonts w:ascii="Calibri" w:hAnsi="Calibri" w:cs="Calibri"/>
                <w:sz w:val="20"/>
                <w:szCs w:val="21"/>
              </w:rPr>
              <w:t xml:space="preserve"> </w:t>
            </w:r>
          </w:p>
        </w:tc>
        <w:tc>
          <w:tcPr>
            <w:tcW w:w="2287" w:type="dxa"/>
          </w:tcPr>
          <w:p w14:paraId="3B581010"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May 2021</w:t>
            </w:r>
          </w:p>
        </w:tc>
      </w:tr>
      <w:tr w:rsidR="002715BD" w:rsidRPr="00366228" w14:paraId="26DDCDF5" w14:textId="77777777" w:rsidTr="73C076F8">
        <w:tc>
          <w:tcPr>
            <w:tcW w:w="6729" w:type="dxa"/>
          </w:tcPr>
          <w:p w14:paraId="3C1E6C73" w14:textId="77777777" w:rsidR="002715BD" w:rsidRPr="00F2387D" w:rsidRDefault="00F75A5C" w:rsidP="002D63A7">
            <w:pPr>
              <w:spacing w:before="60" w:after="60"/>
              <w:rPr>
                <w:rFonts w:ascii="Calibri" w:hAnsi="Calibri" w:cs="Calibri"/>
                <w:sz w:val="20"/>
                <w:szCs w:val="21"/>
              </w:rPr>
            </w:pPr>
            <w:hyperlink r:id="rId41" w:history="1">
              <w:r w:rsidR="002715BD" w:rsidRPr="00F2387D">
                <w:rPr>
                  <w:rStyle w:val="Hyperlink"/>
                  <w:rFonts w:ascii="Calibri" w:hAnsi="Calibri" w:cs="Calibri"/>
                  <w:sz w:val="20"/>
                  <w:szCs w:val="21"/>
                </w:rPr>
                <w:t>TAN 6: Residential Basement Development</w:t>
              </w:r>
            </w:hyperlink>
          </w:p>
        </w:tc>
        <w:tc>
          <w:tcPr>
            <w:tcW w:w="2287" w:type="dxa"/>
          </w:tcPr>
          <w:p w14:paraId="76333DFB"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January 2021</w:t>
            </w:r>
          </w:p>
        </w:tc>
      </w:tr>
      <w:tr w:rsidR="002715BD" w:rsidRPr="00366228" w14:paraId="50341803" w14:textId="77777777" w:rsidTr="73C076F8">
        <w:tc>
          <w:tcPr>
            <w:tcW w:w="6729" w:type="dxa"/>
          </w:tcPr>
          <w:p w14:paraId="2632E894" w14:textId="77777777" w:rsidR="002715BD" w:rsidRPr="00F2387D" w:rsidRDefault="00F75A5C" w:rsidP="002D63A7">
            <w:pPr>
              <w:spacing w:before="60" w:after="60"/>
              <w:rPr>
                <w:rFonts w:ascii="Calibri" w:hAnsi="Calibri" w:cs="Calibri"/>
                <w:sz w:val="20"/>
                <w:szCs w:val="21"/>
              </w:rPr>
            </w:pPr>
            <w:hyperlink r:id="rId42" w:history="1">
              <w:r w:rsidR="002715BD" w:rsidRPr="00F2387D">
                <w:rPr>
                  <w:rStyle w:val="Hyperlink"/>
                  <w:rFonts w:ascii="Calibri" w:hAnsi="Calibri" w:cs="Calibri"/>
                  <w:sz w:val="20"/>
                  <w:szCs w:val="21"/>
                </w:rPr>
                <w:t>TAN 7: High Buildings</w:t>
              </w:r>
            </w:hyperlink>
          </w:p>
        </w:tc>
        <w:tc>
          <w:tcPr>
            <w:tcW w:w="2287" w:type="dxa"/>
          </w:tcPr>
          <w:p w14:paraId="0A112E91"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October 2018</w:t>
            </w:r>
          </w:p>
        </w:tc>
      </w:tr>
      <w:tr w:rsidR="002715BD" w:rsidRPr="00366228" w14:paraId="2D4AA797" w14:textId="77777777" w:rsidTr="73C076F8">
        <w:tc>
          <w:tcPr>
            <w:tcW w:w="6729" w:type="dxa"/>
          </w:tcPr>
          <w:p w14:paraId="798A12CA" w14:textId="77777777" w:rsidR="002715BD" w:rsidRPr="00F2387D" w:rsidRDefault="00F75A5C" w:rsidP="002D63A7">
            <w:pPr>
              <w:spacing w:before="60" w:after="60"/>
              <w:rPr>
                <w:rFonts w:ascii="Calibri" w:hAnsi="Calibri" w:cs="Calibri"/>
                <w:sz w:val="20"/>
                <w:szCs w:val="21"/>
              </w:rPr>
            </w:pPr>
            <w:hyperlink r:id="rId43" w:history="1">
              <w:r w:rsidR="002715BD" w:rsidRPr="00F2387D">
                <w:rPr>
                  <w:rStyle w:val="Hyperlink"/>
                  <w:rFonts w:ascii="Calibri" w:hAnsi="Calibri" w:cs="Calibri"/>
                  <w:sz w:val="20"/>
                  <w:szCs w:val="21"/>
                </w:rPr>
                <w:t>TAN 8: Biodiversity</w:t>
              </w:r>
            </w:hyperlink>
          </w:p>
        </w:tc>
        <w:tc>
          <w:tcPr>
            <w:tcW w:w="2287" w:type="dxa"/>
          </w:tcPr>
          <w:p w14:paraId="40FFB835"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April 2021</w:t>
            </w:r>
          </w:p>
        </w:tc>
      </w:tr>
      <w:tr w:rsidR="002715BD" w:rsidRPr="00366228" w14:paraId="5AB7F73C" w14:textId="77777777" w:rsidTr="73C076F8">
        <w:tc>
          <w:tcPr>
            <w:tcW w:w="6729" w:type="dxa"/>
          </w:tcPr>
          <w:p w14:paraId="240C19A2" w14:textId="77777777" w:rsidR="002715BD" w:rsidRPr="00F2387D" w:rsidRDefault="00F75A5C" w:rsidP="002D63A7">
            <w:pPr>
              <w:spacing w:before="60" w:after="60"/>
              <w:rPr>
                <w:rFonts w:ascii="Calibri" w:hAnsi="Calibri" w:cs="Calibri"/>
                <w:sz w:val="20"/>
                <w:szCs w:val="21"/>
              </w:rPr>
            </w:pPr>
            <w:hyperlink r:id="rId44" w:history="1">
              <w:r w:rsidR="002715BD" w:rsidRPr="00F2387D">
                <w:rPr>
                  <w:rStyle w:val="Hyperlink"/>
                  <w:rFonts w:ascii="Calibri" w:hAnsi="Calibri" w:cs="Calibri"/>
                  <w:sz w:val="20"/>
                  <w:szCs w:val="21"/>
                </w:rPr>
                <w:t>TAN 9: Green Spaces</w:t>
              </w:r>
            </w:hyperlink>
          </w:p>
        </w:tc>
        <w:tc>
          <w:tcPr>
            <w:tcW w:w="2287" w:type="dxa"/>
          </w:tcPr>
          <w:p w14:paraId="7F402427"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 xml:space="preserve">January 2021 </w:t>
            </w:r>
          </w:p>
        </w:tc>
      </w:tr>
      <w:tr w:rsidR="002715BD" w:rsidRPr="00366228" w14:paraId="70F57EDB" w14:textId="77777777" w:rsidTr="73C076F8">
        <w:tc>
          <w:tcPr>
            <w:tcW w:w="6729" w:type="dxa"/>
          </w:tcPr>
          <w:p w14:paraId="5E94976E" w14:textId="77777777" w:rsidR="002715BD" w:rsidRPr="00F2387D" w:rsidRDefault="00F75A5C" w:rsidP="002D63A7">
            <w:pPr>
              <w:spacing w:before="60" w:after="60"/>
              <w:rPr>
                <w:rFonts w:ascii="Calibri" w:hAnsi="Calibri" w:cs="Calibri"/>
                <w:sz w:val="20"/>
                <w:szCs w:val="21"/>
              </w:rPr>
            </w:pPr>
            <w:hyperlink r:id="rId45" w:history="1">
              <w:r w:rsidR="002715BD" w:rsidRPr="00F2387D">
                <w:rPr>
                  <w:rStyle w:val="Hyperlink"/>
                  <w:rFonts w:ascii="Calibri" w:hAnsi="Calibri" w:cs="Calibri"/>
                  <w:sz w:val="20"/>
                  <w:szCs w:val="21"/>
                </w:rPr>
                <w:t>TAN 10: Shopfronts and Signage</w:t>
              </w:r>
            </w:hyperlink>
          </w:p>
        </w:tc>
        <w:tc>
          <w:tcPr>
            <w:tcW w:w="2287" w:type="dxa"/>
          </w:tcPr>
          <w:p w14:paraId="0582409D"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July 2021</w:t>
            </w:r>
          </w:p>
        </w:tc>
      </w:tr>
      <w:tr w:rsidR="002715BD" w:rsidRPr="00366228" w14:paraId="2FF223EC" w14:textId="77777777" w:rsidTr="73C076F8">
        <w:tc>
          <w:tcPr>
            <w:tcW w:w="6729" w:type="dxa"/>
          </w:tcPr>
          <w:p w14:paraId="15107DC4" w14:textId="77777777" w:rsidR="002715BD" w:rsidRPr="00F2387D" w:rsidRDefault="00F75A5C" w:rsidP="002D63A7">
            <w:pPr>
              <w:spacing w:before="60" w:after="60"/>
              <w:rPr>
                <w:rFonts w:ascii="Calibri" w:hAnsi="Calibri" w:cs="Calibri"/>
                <w:sz w:val="20"/>
                <w:szCs w:val="21"/>
              </w:rPr>
            </w:pPr>
            <w:hyperlink r:id="rId46" w:history="1">
              <w:r w:rsidR="002715BD" w:rsidRPr="00F2387D">
                <w:rPr>
                  <w:rStyle w:val="Hyperlink"/>
                  <w:rFonts w:ascii="Calibri" w:hAnsi="Calibri" w:cs="Calibri"/>
                  <w:sz w:val="20"/>
                  <w:szCs w:val="21"/>
                </w:rPr>
                <w:t>Tan 14: Sustainable Design and Construction</w:t>
              </w:r>
            </w:hyperlink>
          </w:p>
        </w:tc>
        <w:tc>
          <w:tcPr>
            <w:tcW w:w="2287" w:type="dxa"/>
          </w:tcPr>
          <w:p w14:paraId="34B57264"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 xml:space="preserve">June 2021 </w:t>
            </w:r>
          </w:p>
        </w:tc>
      </w:tr>
      <w:tr w:rsidR="002715BD" w:rsidRPr="00366228" w14:paraId="1418F800" w14:textId="77777777" w:rsidTr="73C076F8">
        <w:tc>
          <w:tcPr>
            <w:tcW w:w="6729" w:type="dxa"/>
          </w:tcPr>
          <w:p w14:paraId="7758D40C" w14:textId="77777777" w:rsidR="002715BD" w:rsidRPr="00F2387D" w:rsidRDefault="00F75A5C" w:rsidP="002D63A7">
            <w:pPr>
              <w:spacing w:before="60" w:after="60"/>
              <w:rPr>
                <w:rFonts w:ascii="Calibri" w:hAnsi="Calibri" w:cs="Calibri"/>
                <w:sz w:val="20"/>
                <w:szCs w:val="21"/>
              </w:rPr>
            </w:pPr>
            <w:hyperlink r:id="rId47" w:history="1">
              <w:r w:rsidR="002715BD" w:rsidRPr="00F2387D">
                <w:rPr>
                  <w:rStyle w:val="Hyperlink"/>
                  <w:rFonts w:ascii="Calibri" w:hAnsi="Calibri" w:cs="Calibri"/>
                  <w:sz w:val="20"/>
                  <w:szCs w:val="21"/>
                </w:rPr>
                <w:t>TAN 15: Heritage and Sustainability Guidance for Householders</w:t>
              </w:r>
            </w:hyperlink>
          </w:p>
        </w:tc>
        <w:tc>
          <w:tcPr>
            <w:tcW w:w="2287" w:type="dxa"/>
          </w:tcPr>
          <w:p w14:paraId="25CBBCDC" w14:textId="77777777" w:rsidR="002715BD" w:rsidRPr="00F2387D" w:rsidRDefault="002715BD" w:rsidP="002D63A7">
            <w:pPr>
              <w:spacing w:before="60" w:after="60"/>
              <w:rPr>
                <w:rFonts w:asciiTheme="minorHAnsi" w:hAnsiTheme="minorHAnsi" w:cstheme="minorHAnsi"/>
                <w:sz w:val="20"/>
                <w:szCs w:val="21"/>
              </w:rPr>
            </w:pPr>
            <w:r w:rsidRPr="00F2387D">
              <w:rPr>
                <w:rFonts w:asciiTheme="minorHAnsi" w:hAnsiTheme="minorHAnsi" w:cstheme="minorHAnsi"/>
                <w:sz w:val="20"/>
                <w:szCs w:val="21"/>
              </w:rPr>
              <w:t>April 2021</w:t>
            </w:r>
          </w:p>
        </w:tc>
      </w:tr>
      <w:tr w:rsidR="002715BD" w:rsidRPr="00366228" w14:paraId="11626917" w14:textId="77777777" w:rsidTr="73C076F8">
        <w:tc>
          <w:tcPr>
            <w:tcW w:w="9016" w:type="dxa"/>
            <w:gridSpan w:val="2"/>
            <w:shd w:val="clear" w:color="auto" w:fill="D9D9D9" w:themeFill="background1" w:themeFillShade="D9"/>
          </w:tcPr>
          <w:p w14:paraId="1CEED4B2" w14:textId="77777777" w:rsidR="002715BD" w:rsidRPr="00F2387D" w:rsidRDefault="002715BD" w:rsidP="002D63A7">
            <w:pPr>
              <w:spacing w:before="60" w:after="60"/>
              <w:rPr>
                <w:rFonts w:asciiTheme="minorHAnsi" w:hAnsiTheme="minorHAnsi" w:cstheme="minorHAnsi"/>
                <w:b/>
                <w:sz w:val="20"/>
                <w:szCs w:val="21"/>
              </w:rPr>
            </w:pPr>
            <w:r w:rsidRPr="00F2387D">
              <w:rPr>
                <w:rFonts w:asciiTheme="minorHAnsi" w:hAnsiTheme="minorHAnsi" w:cstheme="minorHAnsi"/>
                <w:b/>
                <w:sz w:val="20"/>
                <w:szCs w:val="21"/>
              </w:rPr>
              <w:t>Other planning policy documents</w:t>
            </w:r>
          </w:p>
        </w:tc>
      </w:tr>
      <w:tr w:rsidR="002715BD" w:rsidRPr="00366228" w14:paraId="1EADFDB0" w14:textId="77777777" w:rsidTr="73C076F8">
        <w:tc>
          <w:tcPr>
            <w:tcW w:w="6729" w:type="dxa"/>
          </w:tcPr>
          <w:p w14:paraId="07664238" w14:textId="77777777" w:rsidR="002715BD" w:rsidRPr="00F2387D" w:rsidRDefault="00F75A5C" w:rsidP="108EF35C">
            <w:pPr>
              <w:spacing w:before="60" w:after="60"/>
              <w:rPr>
                <w:rFonts w:asciiTheme="minorHAnsi" w:hAnsiTheme="minorHAnsi" w:cstheme="minorHAnsi"/>
                <w:sz w:val="20"/>
                <w:szCs w:val="21"/>
              </w:rPr>
            </w:pPr>
            <w:hyperlink r:id="rId48">
              <w:r w:rsidR="5D5EC02E" w:rsidRPr="00F2387D">
                <w:rPr>
                  <w:rStyle w:val="Hyperlink"/>
                  <w:rFonts w:asciiTheme="minorHAnsi" w:hAnsiTheme="minorHAnsi" w:cstheme="minorHAnsi"/>
                  <w:sz w:val="20"/>
                  <w:szCs w:val="21"/>
                </w:rPr>
                <w:t>Annual Monitoring Report</w:t>
              </w:r>
            </w:hyperlink>
          </w:p>
        </w:tc>
        <w:tc>
          <w:tcPr>
            <w:tcW w:w="2287" w:type="dxa"/>
          </w:tcPr>
          <w:p w14:paraId="79070DEC" w14:textId="77777777" w:rsidR="002715BD" w:rsidRPr="00F2387D" w:rsidRDefault="5D5EC02E" w:rsidP="108EF35C">
            <w:pPr>
              <w:spacing w:before="60" w:after="60"/>
              <w:rPr>
                <w:rFonts w:ascii="Calibri" w:hAnsi="Calibri" w:cs="Calibri"/>
                <w:sz w:val="20"/>
                <w:szCs w:val="21"/>
              </w:rPr>
            </w:pPr>
            <w:r w:rsidRPr="00F2387D">
              <w:rPr>
                <w:rFonts w:ascii="Calibri" w:hAnsi="Calibri" w:cs="Calibri"/>
                <w:sz w:val="20"/>
                <w:szCs w:val="21"/>
              </w:rPr>
              <w:t>Produced annually</w:t>
            </w:r>
          </w:p>
        </w:tc>
      </w:tr>
      <w:tr w:rsidR="002715BD" w:rsidRPr="00366228" w14:paraId="1E666DBD" w14:textId="77777777" w:rsidTr="73C076F8">
        <w:tc>
          <w:tcPr>
            <w:tcW w:w="6729" w:type="dxa"/>
          </w:tcPr>
          <w:p w14:paraId="13EA1298" w14:textId="4E140932" w:rsidR="002715BD" w:rsidRPr="00F2387D" w:rsidRDefault="00F75A5C" w:rsidP="108EF35C">
            <w:pPr>
              <w:spacing w:before="60" w:after="60"/>
              <w:rPr>
                <w:rFonts w:asciiTheme="minorHAnsi" w:hAnsiTheme="minorHAnsi" w:cstheme="minorHAnsi"/>
                <w:sz w:val="20"/>
                <w:szCs w:val="21"/>
              </w:rPr>
            </w:pPr>
            <w:hyperlink r:id="rId49" w:history="1">
              <w:r w:rsidR="5D5EC02E" w:rsidRPr="00F2387D">
                <w:rPr>
                  <w:rStyle w:val="Hyperlink"/>
                  <w:rFonts w:asciiTheme="minorHAnsi" w:hAnsiTheme="minorHAnsi" w:cstheme="minorHAnsi"/>
                  <w:sz w:val="20"/>
                  <w:szCs w:val="21"/>
                </w:rPr>
                <w:t>Community Infrastructure Levy Charging Schedule</w:t>
              </w:r>
            </w:hyperlink>
            <w:r w:rsidR="5D5EC02E" w:rsidRPr="00F2387D">
              <w:rPr>
                <w:rFonts w:asciiTheme="minorHAnsi" w:hAnsiTheme="minorHAnsi" w:cstheme="minorHAnsi"/>
                <w:sz w:val="20"/>
                <w:szCs w:val="21"/>
              </w:rPr>
              <w:t xml:space="preserve"> </w:t>
            </w:r>
          </w:p>
        </w:tc>
        <w:tc>
          <w:tcPr>
            <w:tcW w:w="2287" w:type="dxa"/>
          </w:tcPr>
          <w:p w14:paraId="15D819E7" w14:textId="07DB689E" w:rsidR="002715BD" w:rsidRPr="00F2387D" w:rsidRDefault="5D5EC02E" w:rsidP="108EF35C">
            <w:pPr>
              <w:spacing w:before="60" w:after="60"/>
              <w:rPr>
                <w:rFonts w:ascii="Calibri" w:hAnsi="Calibri" w:cs="Calibri"/>
                <w:sz w:val="20"/>
                <w:szCs w:val="21"/>
              </w:rPr>
            </w:pPr>
            <w:r w:rsidRPr="00F2387D">
              <w:rPr>
                <w:rFonts w:ascii="Calibri" w:hAnsi="Calibri" w:cs="Calibri"/>
                <w:sz w:val="20"/>
                <w:szCs w:val="21"/>
              </w:rPr>
              <w:t>October 2013</w:t>
            </w:r>
          </w:p>
        </w:tc>
      </w:tr>
      <w:tr w:rsidR="002715BD" w:rsidRPr="00366228" w14:paraId="52A1D771" w14:textId="77777777" w:rsidTr="73C076F8">
        <w:tc>
          <w:tcPr>
            <w:tcW w:w="6729" w:type="dxa"/>
          </w:tcPr>
          <w:p w14:paraId="5A8CB5B0" w14:textId="77777777" w:rsidR="002715BD" w:rsidRPr="00F2387D" w:rsidRDefault="00F75A5C" w:rsidP="108EF35C">
            <w:pPr>
              <w:spacing w:before="60" w:after="60"/>
              <w:rPr>
                <w:rFonts w:asciiTheme="minorHAnsi" w:hAnsiTheme="minorHAnsi" w:cstheme="minorHAnsi"/>
                <w:sz w:val="20"/>
                <w:szCs w:val="21"/>
              </w:rPr>
            </w:pPr>
            <w:hyperlink r:id="rId50">
              <w:r w:rsidR="5D5EC02E" w:rsidRPr="00F2387D">
                <w:rPr>
                  <w:rStyle w:val="Hyperlink"/>
                  <w:rFonts w:asciiTheme="minorHAnsi" w:hAnsiTheme="minorHAnsi" w:cstheme="minorHAnsi"/>
                  <w:sz w:val="20"/>
                  <w:szCs w:val="21"/>
                </w:rPr>
                <w:t>Local Development Scheme</w:t>
              </w:r>
            </w:hyperlink>
          </w:p>
        </w:tc>
        <w:tc>
          <w:tcPr>
            <w:tcW w:w="2287" w:type="dxa"/>
          </w:tcPr>
          <w:p w14:paraId="63230C75" w14:textId="177D6613" w:rsidR="002715BD" w:rsidRPr="00F2387D" w:rsidRDefault="3D8E3322" w:rsidP="108EF35C">
            <w:pPr>
              <w:spacing w:before="60" w:after="60"/>
              <w:rPr>
                <w:rFonts w:ascii="Calibri" w:hAnsi="Calibri" w:cs="Calibri"/>
                <w:sz w:val="20"/>
                <w:szCs w:val="21"/>
              </w:rPr>
            </w:pPr>
            <w:r w:rsidRPr="00F2387D">
              <w:rPr>
                <w:rFonts w:ascii="Calibri" w:hAnsi="Calibri" w:cs="Calibri"/>
                <w:sz w:val="20"/>
                <w:szCs w:val="21"/>
              </w:rPr>
              <w:t>May 2021</w:t>
            </w:r>
          </w:p>
        </w:tc>
      </w:tr>
      <w:tr w:rsidR="002715BD" w:rsidRPr="00366228" w14:paraId="236FA73F" w14:textId="77777777" w:rsidTr="73C076F8">
        <w:tc>
          <w:tcPr>
            <w:tcW w:w="6729" w:type="dxa"/>
          </w:tcPr>
          <w:p w14:paraId="25D2FC51" w14:textId="77777777" w:rsidR="002715BD" w:rsidRPr="00F2387D" w:rsidRDefault="00F75A5C" w:rsidP="108EF35C">
            <w:pPr>
              <w:spacing w:before="60" w:after="60"/>
              <w:rPr>
                <w:rFonts w:asciiTheme="minorHAnsi" w:hAnsiTheme="minorHAnsi" w:cstheme="minorBidi"/>
                <w:sz w:val="20"/>
                <w:szCs w:val="21"/>
              </w:rPr>
            </w:pPr>
            <w:hyperlink r:id="rId51">
              <w:r w:rsidR="5D5EC02E" w:rsidRPr="00F2387D">
                <w:rPr>
                  <w:rStyle w:val="Hyperlink"/>
                  <w:rFonts w:asciiTheme="minorHAnsi" w:hAnsiTheme="minorHAnsi" w:cstheme="minorBidi"/>
                  <w:sz w:val="20"/>
                  <w:szCs w:val="21"/>
                </w:rPr>
                <w:t>Statement of Community Involvement</w:t>
              </w:r>
            </w:hyperlink>
            <w:r w:rsidR="5D5EC02E" w:rsidRPr="00F2387D">
              <w:rPr>
                <w:rFonts w:asciiTheme="minorHAnsi" w:hAnsiTheme="minorHAnsi" w:cstheme="minorBidi"/>
                <w:sz w:val="20"/>
                <w:szCs w:val="21"/>
              </w:rPr>
              <w:t xml:space="preserve"> </w:t>
            </w:r>
          </w:p>
        </w:tc>
        <w:tc>
          <w:tcPr>
            <w:tcW w:w="2287" w:type="dxa"/>
          </w:tcPr>
          <w:p w14:paraId="2A268957" w14:textId="1DDA29DF" w:rsidR="002715BD" w:rsidRPr="00F2387D" w:rsidRDefault="5D5EC02E" w:rsidP="108EF35C">
            <w:pPr>
              <w:spacing w:before="60" w:after="60"/>
              <w:rPr>
                <w:rFonts w:asciiTheme="minorHAnsi" w:hAnsiTheme="minorHAnsi" w:cstheme="minorBidi"/>
                <w:sz w:val="20"/>
                <w:szCs w:val="21"/>
              </w:rPr>
            </w:pPr>
            <w:r w:rsidRPr="00F2387D">
              <w:rPr>
                <w:rFonts w:asciiTheme="minorHAnsi" w:hAnsiTheme="minorHAnsi" w:cstheme="minorBidi"/>
                <w:sz w:val="20"/>
                <w:szCs w:val="21"/>
              </w:rPr>
              <w:t>Ju</w:t>
            </w:r>
            <w:r w:rsidR="02F16BCD" w:rsidRPr="00F2387D">
              <w:rPr>
                <w:rFonts w:asciiTheme="minorHAnsi" w:hAnsiTheme="minorHAnsi" w:cstheme="minorBidi"/>
                <w:sz w:val="20"/>
                <w:szCs w:val="21"/>
              </w:rPr>
              <w:t>ne 2021</w:t>
            </w:r>
          </w:p>
        </w:tc>
      </w:tr>
    </w:tbl>
    <w:p w14:paraId="3CB94691" w14:textId="77777777" w:rsidR="00241636" w:rsidRDefault="00241636" w:rsidP="00241636">
      <w:bookmarkStart w:id="59" w:name="_Toc28082416"/>
      <w:bookmarkStart w:id="60" w:name="_Toc59542582"/>
    </w:p>
    <w:p w14:paraId="2B82AAA0" w14:textId="77777777" w:rsidR="00F2387D" w:rsidRDefault="00F2387D" w:rsidP="00CE2F61">
      <w:pPr>
        <w:pStyle w:val="Heading2"/>
      </w:pPr>
      <w:bookmarkStart w:id="61" w:name="_Toc88135872"/>
      <w:r w:rsidRPr="00241636">
        <w:lastRenderedPageBreak/>
        <w:t>Appendix B: How the AMR complies with statutory requirements</w:t>
      </w:r>
      <w:bookmarkEnd w:id="59"/>
      <w:bookmarkEnd w:id="60"/>
      <w:bookmarkEnd w:id="61"/>
    </w:p>
    <w:p w14:paraId="2661D2AF" w14:textId="77777777" w:rsidR="00CE2F61" w:rsidRPr="00CE2F61" w:rsidRDefault="00CE2F61" w:rsidP="00CE2F61"/>
    <w:tbl>
      <w:tblPr>
        <w:tblStyle w:val="TableGrid30"/>
        <w:tblW w:w="0" w:type="auto"/>
        <w:tblLook w:val="04A0" w:firstRow="1" w:lastRow="0" w:firstColumn="1" w:lastColumn="0" w:noHBand="0" w:noVBand="1"/>
        <w:tblCaption w:val="Appendix B: How the AMR complies with statutory requirements"/>
        <w:tblDescription w:val="Lists the statutory requirements which must be met and the ways in which the AMR meets each of these requirements. "/>
      </w:tblPr>
      <w:tblGrid>
        <w:gridCol w:w="5196"/>
        <w:gridCol w:w="3820"/>
      </w:tblGrid>
      <w:tr w:rsidR="00F2387D" w:rsidRPr="00366228" w14:paraId="73405C9B" w14:textId="77777777" w:rsidTr="0021487B">
        <w:trPr>
          <w:tblHeader/>
        </w:trPr>
        <w:tc>
          <w:tcPr>
            <w:tcW w:w="5196" w:type="dxa"/>
            <w:shd w:val="clear" w:color="auto" w:fill="D9D9D9" w:themeFill="background1" w:themeFillShade="D9"/>
          </w:tcPr>
          <w:p w14:paraId="62E43E1F" w14:textId="77777777" w:rsidR="00F2387D" w:rsidRPr="00366228" w:rsidRDefault="00F2387D" w:rsidP="0021487B">
            <w:pPr>
              <w:rPr>
                <w:b/>
                <w:sz w:val="20"/>
                <w:szCs w:val="20"/>
              </w:rPr>
            </w:pPr>
            <w:r w:rsidRPr="00366228">
              <w:rPr>
                <w:b/>
                <w:sz w:val="20"/>
                <w:szCs w:val="20"/>
              </w:rPr>
              <w:t>Statutory  Requirement</w:t>
            </w:r>
          </w:p>
        </w:tc>
        <w:tc>
          <w:tcPr>
            <w:tcW w:w="3820" w:type="dxa"/>
            <w:shd w:val="clear" w:color="auto" w:fill="D9D9D9" w:themeFill="background1" w:themeFillShade="D9"/>
          </w:tcPr>
          <w:p w14:paraId="69300BC4" w14:textId="77777777" w:rsidR="00F2387D" w:rsidRPr="00366228" w:rsidRDefault="00F2387D" w:rsidP="0021487B">
            <w:pPr>
              <w:rPr>
                <w:b/>
                <w:sz w:val="20"/>
                <w:szCs w:val="20"/>
              </w:rPr>
            </w:pPr>
            <w:r w:rsidRPr="00366228">
              <w:rPr>
                <w:b/>
                <w:sz w:val="20"/>
                <w:szCs w:val="20"/>
              </w:rPr>
              <w:t>How the AMR meets this requirement</w:t>
            </w:r>
          </w:p>
        </w:tc>
      </w:tr>
      <w:tr w:rsidR="00F2387D" w:rsidRPr="00366228" w14:paraId="24FFD5AE" w14:textId="77777777" w:rsidTr="0021487B">
        <w:tc>
          <w:tcPr>
            <w:tcW w:w="5196" w:type="dxa"/>
            <w:tcBorders>
              <w:bottom w:val="single" w:sz="4" w:space="0" w:color="auto"/>
            </w:tcBorders>
            <w:shd w:val="clear" w:color="auto" w:fill="auto"/>
          </w:tcPr>
          <w:p w14:paraId="072D9090" w14:textId="77777777" w:rsidR="00F2387D" w:rsidRPr="00366228" w:rsidRDefault="00F2387D" w:rsidP="0021487B">
            <w:pPr>
              <w:rPr>
                <w:sz w:val="4"/>
                <w:szCs w:val="4"/>
              </w:rPr>
            </w:pPr>
          </w:p>
          <w:p w14:paraId="7A0F874D" w14:textId="77777777" w:rsidR="00F2387D" w:rsidRPr="009875AC" w:rsidRDefault="00F2387D" w:rsidP="0021487B">
            <w:pPr>
              <w:rPr>
                <w:sz w:val="20"/>
                <w:szCs w:val="20"/>
              </w:rPr>
            </w:pPr>
            <w:r w:rsidRPr="00366228">
              <w:rPr>
                <w:b/>
                <w:sz w:val="20"/>
                <w:szCs w:val="20"/>
              </w:rPr>
              <w:t>Section 35 of the Planning and Compulsory Purchase Act 2004 as amended by Section 113 of the Localism Act 2011</w:t>
            </w:r>
            <w:r w:rsidRPr="00366228">
              <w:rPr>
                <w:sz w:val="20"/>
                <w:szCs w:val="20"/>
              </w:rPr>
              <w:t xml:space="preserve"> states that all local planning authorities in England must produce reports containing information on the implementation of the Local Development Scheme and the extent to which the policies in set out in the Local Development Plan are being achieved. These reports m</w:t>
            </w:r>
            <w:r>
              <w:rPr>
                <w:sz w:val="20"/>
                <w:szCs w:val="20"/>
              </w:rPr>
              <w:t>ust be available to the public.</w:t>
            </w:r>
          </w:p>
        </w:tc>
        <w:tc>
          <w:tcPr>
            <w:tcW w:w="3820" w:type="dxa"/>
            <w:tcBorders>
              <w:bottom w:val="single" w:sz="4" w:space="0" w:color="auto"/>
            </w:tcBorders>
            <w:shd w:val="clear" w:color="auto" w:fill="auto"/>
          </w:tcPr>
          <w:p w14:paraId="40C68E82" w14:textId="77777777" w:rsidR="00F2387D" w:rsidRPr="00366228" w:rsidRDefault="00F2387D" w:rsidP="0021487B">
            <w:pPr>
              <w:rPr>
                <w:b/>
                <w:sz w:val="4"/>
                <w:szCs w:val="4"/>
              </w:rPr>
            </w:pPr>
          </w:p>
          <w:p w14:paraId="1C55DCAF" w14:textId="77777777" w:rsidR="00F2387D" w:rsidRPr="00366228" w:rsidRDefault="00F2387D" w:rsidP="0021487B">
            <w:pPr>
              <w:rPr>
                <w:sz w:val="4"/>
                <w:szCs w:val="4"/>
              </w:rPr>
            </w:pPr>
            <w:r w:rsidRPr="00366228">
              <w:rPr>
                <w:sz w:val="20"/>
                <w:szCs w:val="20"/>
              </w:rPr>
              <w:t>The AMR contains information on the implementation of the Local Development Scheme (see Local Development Scheme Monitoring). It also contains information on the implementation of policies in Oxford’s Local Plan</w:t>
            </w:r>
            <w:r>
              <w:rPr>
                <w:sz w:val="20"/>
                <w:szCs w:val="20"/>
              </w:rPr>
              <w:t xml:space="preserve">.  </w:t>
            </w:r>
            <w:r w:rsidRPr="00366228">
              <w:rPr>
                <w:sz w:val="20"/>
                <w:szCs w:val="20"/>
              </w:rPr>
              <w:t>The AMR will remain publically availabl</w:t>
            </w:r>
            <w:r>
              <w:rPr>
                <w:sz w:val="20"/>
                <w:szCs w:val="20"/>
              </w:rPr>
              <w:t>e on the City Council’s website</w:t>
            </w:r>
          </w:p>
        </w:tc>
      </w:tr>
      <w:tr w:rsidR="00F2387D" w:rsidRPr="00366228" w14:paraId="7B62E1B4" w14:textId="77777777" w:rsidTr="0021487B">
        <w:tc>
          <w:tcPr>
            <w:tcW w:w="5196" w:type="dxa"/>
            <w:tcBorders>
              <w:bottom w:val="nil"/>
            </w:tcBorders>
            <w:shd w:val="clear" w:color="auto" w:fill="auto"/>
          </w:tcPr>
          <w:p w14:paraId="05B53F38" w14:textId="77777777" w:rsidR="00F2387D" w:rsidRDefault="00F2387D" w:rsidP="0021487B">
            <w:pPr>
              <w:rPr>
                <w:b/>
                <w:sz w:val="20"/>
                <w:szCs w:val="20"/>
              </w:rPr>
            </w:pPr>
            <w:r w:rsidRPr="00366228">
              <w:rPr>
                <w:b/>
                <w:sz w:val="20"/>
                <w:szCs w:val="20"/>
              </w:rPr>
              <w:t>Regulation 34 of The Town and Country Planning (Local Plann</w:t>
            </w:r>
            <w:r>
              <w:rPr>
                <w:b/>
                <w:sz w:val="20"/>
                <w:szCs w:val="20"/>
              </w:rPr>
              <w:t>ing) (England) Regulations 2012</w:t>
            </w:r>
          </w:p>
          <w:p w14:paraId="1546F401" w14:textId="77777777" w:rsidR="00F2387D" w:rsidRPr="009875AC" w:rsidRDefault="00F2387D" w:rsidP="0021487B">
            <w:pPr>
              <w:rPr>
                <w:b/>
                <w:sz w:val="20"/>
                <w:szCs w:val="20"/>
              </w:rPr>
            </w:pPr>
          </w:p>
        </w:tc>
        <w:tc>
          <w:tcPr>
            <w:tcW w:w="3820" w:type="dxa"/>
            <w:tcBorders>
              <w:bottom w:val="nil"/>
            </w:tcBorders>
            <w:shd w:val="clear" w:color="auto" w:fill="auto"/>
          </w:tcPr>
          <w:p w14:paraId="5E0B87BA" w14:textId="77777777" w:rsidR="00F2387D" w:rsidRPr="00876934" w:rsidRDefault="00F2387D" w:rsidP="0021487B">
            <w:pPr>
              <w:rPr>
                <w:b/>
                <w:sz w:val="20"/>
                <w:szCs w:val="20"/>
              </w:rPr>
            </w:pPr>
          </w:p>
        </w:tc>
      </w:tr>
      <w:tr w:rsidR="00F2387D" w:rsidRPr="00366228" w14:paraId="40A978CE" w14:textId="77777777" w:rsidTr="0021487B">
        <w:tc>
          <w:tcPr>
            <w:tcW w:w="5196" w:type="dxa"/>
            <w:tcBorders>
              <w:top w:val="nil"/>
              <w:bottom w:val="nil"/>
            </w:tcBorders>
            <w:shd w:val="clear" w:color="auto" w:fill="auto"/>
          </w:tcPr>
          <w:p w14:paraId="1B79AF41" w14:textId="77777777" w:rsidR="00F2387D" w:rsidRPr="009875AC" w:rsidRDefault="00F2387D" w:rsidP="0021487B">
            <w:pPr>
              <w:rPr>
                <w:sz w:val="20"/>
                <w:szCs w:val="20"/>
              </w:rPr>
            </w:pPr>
            <w:r w:rsidRPr="00366228">
              <w:rPr>
                <w:sz w:val="20"/>
                <w:szCs w:val="20"/>
              </w:rPr>
              <w:t>(1) A local planning authority’s monitoring report must con</w:t>
            </w:r>
            <w:r>
              <w:rPr>
                <w:sz w:val="20"/>
                <w:szCs w:val="20"/>
              </w:rPr>
              <w:t>tain the following information</w:t>
            </w:r>
          </w:p>
        </w:tc>
        <w:tc>
          <w:tcPr>
            <w:tcW w:w="3820" w:type="dxa"/>
            <w:tcBorders>
              <w:top w:val="nil"/>
              <w:bottom w:val="nil"/>
            </w:tcBorders>
            <w:shd w:val="clear" w:color="auto" w:fill="auto"/>
          </w:tcPr>
          <w:p w14:paraId="264503A4" w14:textId="77777777" w:rsidR="00F2387D" w:rsidRPr="00876934" w:rsidRDefault="00F2387D" w:rsidP="0021487B">
            <w:pPr>
              <w:rPr>
                <w:b/>
                <w:sz w:val="20"/>
                <w:szCs w:val="20"/>
              </w:rPr>
            </w:pPr>
          </w:p>
        </w:tc>
      </w:tr>
      <w:tr w:rsidR="00F2387D" w:rsidRPr="00366228" w14:paraId="667E10DB" w14:textId="77777777" w:rsidTr="0021487B">
        <w:tc>
          <w:tcPr>
            <w:tcW w:w="5196" w:type="dxa"/>
            <w:tcBorders>
              <w:top w:val="nil"/>
              <w:bottom w:val="nil"/>
            </w:tcBorders>
            <w:shd w:val="clear" w:color="auto" w:fill="auto"/>
          </w:tcPr>
          <w:p w14:paraId="408C4297" w14:textId="77777777" w:rsidR="00F2387D" w:rsidRPr="00366228" w:rsidRDefault="00F2387D" w:rsidP="0021487B">
            <w:pPr>
              <w:rPr>
                <w:sz w:val="20"/>
                <w:szCs w:val="20"/>
              </w:rPr>
            </w:pPr>
            <w:r w:rsidRPr="00366228">
              <w:rPr>
                <w:sz w:val="20"/>
                <w:szCs w:val="20"/>
              </w:rPr>
              <w:t>(a) the title of the local plans or supplementary planning documents specified in the local planning authority’s local development scheme;</w:t>
            </w:r>
          </w:p>
        </w:tc>
        <w:tc>
          <w:tcPr>
            <w:tcW w:w="3820" w:type="dxa"/>
            <w:tcBorders>
              <w:top w:val="nil"/>
              <w:bottom w:val="nil"/>
            </w:tcBorders>
            <w:shd w:val="clear" w:color="auto" w:fill="auto"/>
          </w:tcPr>
          <w:p w14:paraId="5FE366D5" w14:textId="77777777" w:rsidR="00F2387D" w:rsidRDefault="00F2387D" w:rsidP="0021487B">
            <w:pPr>
              <w:rPr>
                <w:sz w:val="20"/>
                <w:szCs w:val="20"/>
              </w:rPr>
            </w:pPr>
            <w:r>
              <w:rPr>
                <w:sz w:val="20"/>
                <w:szCs w:val="20"/>
              </w:rPr>
              <w:t>T</w:t>
            </w:r>
            <w:r w:rsidRPr="00366228">
              <w:rPr>
                <w:sz w:val="20"/>
                <w:szCs w:val="20"/>
              </w:rPr>
              <w:t>his information is included in the Loca</w:t>
            </w:r>
            <w:r>
              <w:rPr>
                <w:sz w:val="20"/>
                <w:szCs w:val="20"/>
              </w:rPr>
              <w:t>l Development Scheme monitoring section of the AMR</w:t>
            </w:r>
          </w:p>
          <w:p w14:paraId="31ECDA43" w14:textId="77777777" w:rsidR="00F2387D" w:rsidRPr="00876934" w:rsidRDefault="00F2387D" w:rsidP="0021487B">
            <w:pPr>
              <w:rPr>
                <w:b/>
                <w:sz w:val="20"/>
                <w:szCs w:val="20"/>
              </w:rPr>
            </w:pPr>
          </w:p>
        </w:tc>
      </w:tr>
      <w:tr w:rsidR="00F2387D" w:rsidRPr="00366228" w14:paraId="2B4D47C6" w14:textId="77777777" w:rsidTr="0021487B">
        <w:tc>
          <w:tcPr>
            <w:tcW w:w="5196" w:type="dxa"/>
            <w:tcBorders>
              <w:top w:val="nil"/>
              <w:bottom w:val="nil"/>
            </w:tcBorders>
            <w:shd w:val="clear" w:color="auto" w:fill="auto"/>
          </w:tcPr>
          <w:p w14:paraId="0D599D91" w14:textId="77777777" w:rsidR="00F2387D" w:rsidRPr="00366228" w:rsidRDefault="00F2387D" w:rsidP="0021487B">
            <w:pPr>
              <w:rPr>
                <w:sz w:val="20"/>
                <w:szCs w:val="20"/>
              </w:rPr>
            </w:pPr>
            <w:r>
              <w:rPr>
                <w:sz w:val="20"/>
                <w:szCs w:val="20"/>
              </w:rPr>
              <w:t>(</w:t>
            </w:r>
            <w:r w:rsidRPr="00366228">
              <w:rPr>
                <w:sz w:val="20"/>
                <w:szCs w:val="20"/>
              </w:rPr>
              <w:t>b) in relation to each of those documents—</w:t>
            </w:r>
          </w:p>
          <w:p w14:paraId="41FE8EC1" w14:textId="77777777" w:rsidR="00F2387D" w:rsidRPr="00366228" w:rsidRDefault="00F2387D" w:rsidP="0021487B">
            <w:pPr>
              <w:ind w:left="313"/>
              <w:rPr>
                <w:sz w:val="20"/>
                <w:szCs w:val="20"/>
              </w:rPr>
            </w:pPr>
            <w:r w:rsidRPr="00366228">
              <w:rPr>
                <w:sz w:val="20"/>
                <w:szCs w:val="20"/>
              </w:rPr>
              <w:t>(</w:t>
            </w:r>
            <w:proofErr w:type="spellStart"/>
            <w:r w:rsidRPr="00366228">
              <w:rPr>
                <w:sz w:val="20"/>
                <w:szCs w:val="20"/>
              </w:rPr>
              <w:t>i</w:t>
            </w:r>
            <w:proofErr w:type="spellEnd"/>
            <w:r w:rsidRPr="00366228">
              <w:rPr>
                <w:sz w:val="20"/>
                <w:szCs w:val="20"/>
              </w:rPr>
              <w:t>) the timetable specified in the local planning authority’s local development scheme for the document’s preparation;</w:t>
            </w:r>
          </w:p>
          <w:p w14:paraId="5DB75C1A" w14:textId="77777777" w:rsidR="00F2387D" w:rsidRPr="00366228" w:rsidRDefault="00F2387D" w:rsidP="0021487B">
            <w:pPr>
              <w:ind w:left="313"/>
              <w:rPr>
                <w:sz w:val="20"/>
                <w:szCs w:val="20"/>
              </w:rPr>
            </w:pPr>
            <w:r w:rsidRPr="00366228">
              <w:rPr>
                <w:sz w:val="20"/>
                <w:szCs w:val="20"/>
              </w:rPr>
              <w:t>(ii) the stage the document has reached in its preparation; and</w:t>
            </w:r>
          </w:p>
          <w:p w14:paraId="5E55310D" w14:textId="77777777" w:rsidR="00F2387D" w:rsidRPr="00366228" w:rsidRDefault="00F2387D" w:rsidP="0021487B">
            <w:pPr>
              <w:ind w:left="313"/>
              <w:rPr>
                <w:sz w:val="20"/>
                <w:szCs w:val="20"/>
              </w:rPr>
            </w:pPr>
            <w:r w:rsidRPr="00366228">
              <w:rPr>
                <w:sz w:val="20"/>
                <w:szCs w:val="20"/>
              </w:rPr>
              <w:t>(iii) if the document’s preparation is behind the timetable mentioned in paragraph (</w:t>
            </w:r>
            <w:proofErr w:type="spellStart"/>
            <w:r w:rsidRPr="00366228">
              <w:rPr>
                <w:sz w:val="20"/>
                <w:szCs w:val="20"/>
              </w:rPr>
              <w:t>i</w:t>
            </w:r>
            <w:proofErr w:type="spellEnd"/>
            <w:r w:rsidRPr="00366228">
              <w:rPr>
                <w:sz w:val="20"/>
                <w:szCs w:val="20"/>
              </w:rPr>
              <w:t>) the reas</w:t>
            </w:r>
            <w:r>
              <w:rPr>
                <w:sz w:val="20"/>
                <w:szCs w:val="20"/>
              </w:rPr>
              <w:t>ons for this; and</w:t>
            </w:r>
          </w:p>
        </w:tc>
        <w:tc>
          <w:tcPr>
            <w:tcW w:w="3820" w:type="dxa"/>
            <w:tcBorders>
              <w:top w:val="nil"/>
              <w:bottom w:val="nil"/>
            </w:tcBorders>
            <w:shd w:val="clear" w:color="auto" w:fill="auto"/>
          </w:tcPr>
          <w:p w14:paraId="0547B73D" w14:textId="77777777" w:rsidR="00F2387D" w:rsidRPr="00876934" w:rsidRDefault="00F2387D" w:rsidP="0021487B">
            <w:pPr>
              <w:rPr>
                <w:b/>
                <w:sz w:val="20"/>
                <w:szCs w:val="20"/>
              </w:rPr>
            </w:pPr>
            <w:r>
              <w:rPr>
                <w:sz w:val="20"/>
                <w:szCs w:val="20"/>
              </w:rPr>
              <w:t xml:space="preserve">The Oxford Local Plan 2036 was adopted during the monitoring period. </w:t>
            </w:r>
          </w:p>
        </w:tc>
      </w:tr>
      <w:tr w:rsidR="00F2387D" w:rsidRPr="00366228" w14:paraId="437A5E45" w14:textId="77777777" w:rsidTr="0021487B">
        <w:tc>
          <w:tcPr>
            <w:tcW w:w="5196" w:type="dxa"/>
            <w:tcBorders>
              <w:top w:val="nil"/>
              <w:bottom w:val="nil"/>
            </w:tcBorders>
            <w:shd w:val="clear" w:color="auto" w:fill="auto"/>
          </w:tcPr>
          <w:p w14:paraId="4EC73BA3" w14:textId="77777777" w:rsidR="00F2387D" w:rsidRDefault="00F2387D" w:rsidP="0021487B">
            <w:pPr>
              <w:rPr>
                <w:sz w:val="20"/>
                <w:szCs w:val="20"/>
              </w:rPr>
            </w:pPr>
            <w:r>
              <w:rPr>
                <w:sz w:val="20"/>
                <w:szCs w:val="20"/>
              </w:rPr>
              <w:t>(</w:t>
            </w:r>
            <w:r w:rsidRPr="00366228">
              <w:rPr>
                <w:sz w:val="20"/>
                <w:szCs w:val="20"/>
              </w:rPr>
              <w:t xml:space="preserve">c) </w:t>
            </w:r>
            <w:proofErr w:type="gramStart"/>
            <w:r w:rsidRPr="00366228">
              <w:rPr>
                <w:sz w:val="20"/>
                <w:szCs w:val="20"/>
              </w:rPr>
              <w:t>where</w:t>
            </w:r>
            <w:proofErr w:type="gramEnd"/>
            <w:r w:rsidRPr="00366228">
              <w:rPr>
                <w:sz w:val="20"/>
                <w:szCs w:val="20"/>
              </w:rPr>
              <w:t xml:space="preserve"> any local plan or supplementary planning document specified in the local planning authority’s local development scheme has been adopted or approved within the period in respect of which the report is made, a statement of that fact and of the date of adoption or approval.</w:t>
            </w:r>
          </w:p>
          <w:p w14:paraId="4C47CBB5" w14:textId="77777777" w:rsidR="00F2387D" w:rsidRPr="00366228" w:rsidRDefault="00F2387D" w:rsidP="0021487B">
            <w:pPr>
              <w:rPr>
                <w:sz w:val="20"/>
                <w:szCs w:val="20"/>
              </w:rPr>
            </w:pPr>
          </w:p>
        </w:tc>
        <w:tc>
          <w:tcPr>
            <w:tcW w:w="3820" w:type="dxa"/>
            <w:tcBorders>
              <w:top w:val="nil"/>
              <w:bottom w:val="nil"/>
            </w:tcBorders>
            <w:shd w:val="clear" w:color="auto" w:fill="auto"/>
          </w:tcPr>
          <w:p w14:paraId="795EC361" w14:textId="77777777" w:rsidR="00F2387D" w:rsidRPr="009875AC" w:rsidRDefault="00F2387D" w:rsidP="0021487B">
            <w:pPr>
              <w:rPr>
                <w:sz w:val="20"/>
                <w:szCs w:val="20"/>
              </w:rPr>
            </w:pPr>
          </w:p>
        </w:tc>
      </w:tr>
      <w:tr w:rsidR="00F2387D" w:rsidRPr="00366228" w14:paraId="08F423B6" w14:textId="77777777" w:rsidTr="0021487B">
        <w:tc>
          <w:tcPr>
            <w:tcW w:w="5196" w:type="dxa"/>
            <w:tcBorders>
              <w:top w:val="nil"/>
              <w:bottom w:val="nil"/>
            </w:tcBorders>
            <w:shd w:val="clear" w:color="auto" w:fill="auto"/>
          </w:tcPr>
          <w:p w14:paraId="487F449F" w14:textId="77777777" w:rsidR="00F2387D" w:rsidRDefault="00F2387D" w:rsidP="0021487B">
            <w:pPr>
              <w:rPr>
                <w:sz w:val="20"/>
                <w:szCs w:val="20"/>
              </w:rPr>
            </w:pPr>
            <w:r>
              <w:rPr>
                <w:sz w:val="20"/>
                <w:szCs w:val="20"/>
              </w:rPr>
              <w:t>(</w:t>
            </w:r>
            <w:r w:rsidRPr="00366228">
              <w:rPr>
                <w:sz w:val="20"/>
                <w:szCs w:val="20"/>
              </w:rPr>
              <w:t>2) Where a local planning authority are not implementing a policy specified in a local plan, the local planning aut</w:t>
            </w:r>
            <w:r>
              <w:rPr>
                <w:sz w:val="20"/>
                <w:szCs w:val="20"/>
              </w:rPr>
              <w:t>hority’s monitoring report must</w:t>
            </w:r>
          </w:p>
        </w:tc>
        <w:tc>
          <w:tcPr>
            <w:tcW w:w="3820" w:type="dxa"/>
            <w:tcBorders>
              <w:top w:val="nil"/>
              <w:bottom w:val="nil"/>
            </w:tcBorders>
            <w:shd w:val="clear" w:color="auto" w:fill="auto"/>
          </w:tcPr>
          <w:p w14:paraId="55787382" w14:textId="77777777" w:rsidR="00F2387D" w:rsidRPr="00366228" w:rsidRDefault="00F2387D" w:rsidP="0021487B">
            <w:pPr>
              <w:rPr>
                <w:sz w:val="20"/>
                <w:szCs w:val="20"/>
              </w:rPr>
            </w:pPr>
          </w:p>
        </w:tc>
      </w:tr>
      <w:tr w:rsidR="00F2387D" w:rsidRPr="00366228" w14:paraId="774A049C" w14:textId="77777777" w:rsidTr="0021487B">
        <w:tc>
          <w:tcPr>
            <w:tcW w:w="5196" w:type="dxa"/>
            <w:tcBorders>
              <w:top w:val="nil"/>
              <w:bottom w:val="nil"/>
            </w:tcBorders>
            <w:shd w:val="clear" w:color="auto" w:fill="auto"/>
          </w:tcPr>
          <w:p w14:paraId="190ABCA9" w14:textId="77777777" w:rsidR="00F2387D" w:rsidRPr="00366228" w:rsidRDefault="00F2387D" w:rsidP="0021487B">
            <w:pPr>
              <w:rPr>
                <w:sz w:val="20"/>
                <w:szCs w:val="20"/>
              </w:rPr>
            </w:pPr>
            <w:r>
              <w:rPr>
                <w:sz w:val="20"/>
                <w:szCs w:val="20"/>
              </w:rPr>
              <w:t>(a) identify that policy; and</w:t>
            </w:r>
          </w:p>
        </w:tc>
        <w:tc>
          <w:tcPr>
            <w:tcW w:w="3820" w:type="dxa"/>
            <w:tcBorders>
              <w:top w:val="nil"/>
              <w:bottom w:val="nil"/>
            </w:tcBorders>
            <w:shd w:val="clear" w:color="auto" w:fill="auto"/>
          </w:tcPr>
          <w:p w14:paraId="4BF45412" w14:textId="77777777" w:rsidR="00F2387D" w:rsidRPr="00366228" w:rsidRDefault="00F2387D" w:rsidP="0021487B">
            <w:pPr>
              <w:rPr>
                <w:sz w:val="20"/>
                <w:szCs w:val="20"/>
              </w:rPr>
            </w:pPr>
          </w:p>
        </w:tc>
      </w:tr>
      <w:tr w:rsidR="00F2387D" w:rsidRPr="00366228" w14:paraId="5BF5C10B" w14:textId="77777777" w:rsidTr="0021487B">
        <w:tc>
          <w:tcPr>
            <w:tcW w:w="5196" w:type="dxa"/>
            <w:tcBorders>
              <w:top w:val="nil"/>
              <w:bottom w:val="nil"/>
            </w:tcBorders>
            <w:shd w:val="clear" w:color="auto" w:fill="auto"/>
          </w:tcPr>
          <w:p w14:paraId="6D9FDF36" w14:textId="77777777" w:rsidR="00F2387D" w:rsidRPr="00366228" w:rsidRDefault="00F2387D" w:rsidP="0021487B">
            <w:pPr>
              <w:rPr>
                <w:sz w:val="20"/>
                <w:szCs w:val="20"/>
              </w:rPr>
            </w:pPr>
            <w:r>
              <w:rPr>
                <w:sz w:val="20"/>
                <w:szCs w:val="20"/>
              </w:rPr>
              <w:t>(</w:t>
            </w:r>
            <w:r w:rsidRPr="00366228">
              <w:rPr>
                <w:sz w:val="20"/>
                <w:szCs w:val="20"/>
              </w:rPr>
              <w:t>b) include a statement of—</w:t>
            </w:r>
          </w:p>
          <w:p w14:paraId="29431547" w14:textId="77777777" w:rsidR="00F2387D" w:rsidRPr="00366228" w:rsidRDefault="00F2387D" w:rsidP="0021487B">
            <w:pPr>
              <w:ind w:left="313"/>
              <w:rPr>
                <w:sz w:val="20"/>
                <w:szCs w:val="20"/>
              </w:rPr>
            </w:pPr>
            <w:r w:rsidRPr="00366228">
              <w:rPr>
                <w:sz w:val="20"/>
                <w:szCs w:val="20"/>
              </w:rPr>
              <w:t>(</w:t>
            </w:r>
            <w:proofErr w:type="spellStart"/>
            <w:r w:rsidRPr="00366228">
              <w:rPr>
                <w:sz w:val="20"/>
                <w:szCs w:val="20"/>
              </w:rPr>
              <w:t>i</w:t>
            </w:r>
            <w:proofErr w:type="spellEnd"/>
            <w:r w:rsidRPr="00366228">
              <w:rPr>
                <w:sz w:val="20"/>
                <w:szCs w:val="20"/>
              </w:rPr>
              <w:t>) the reasons why the local planning authority are not implementing the policy; and</w:t>
            </w:r>
          </w:p>
          <w:p w14:paraId="0D94059C" w14:textId="77777777" w:rsidR="00F2387D" w:rsidRDefault="00F2387D" w:rsidP="0021487B">
            <w:pPr>
              <w:ind w:left="313"/>
              <w:rPr>
                <w:sz w:val="20"/>
                <w:szCs w:val="20"/>
              </w:rPr>
            </w:pPr>
            <w:r w:rsidRPr="00366228">
              <w:rPr>
                <w:sz w:val="20"/>
                <w:szCs w:val="20"/>
              </w:rPr>
              <w:t>(ii) the steps (if any) that the local planning authority intend to take to secure that the policy is implemented</w:t>
            </w:r>
          </w:p>
          <w:p w14:paraId="02A7E9B9" w14:textId="77777777" w:rsidR="00F2387D" w:rsidRDefault="00F2387D" w:rsidP="0021487B">
            <w:pPr>
              <w:ind w:left="313"/>
              <w:rPr>
                <w:sz w:val="20"/>
                <w:szCs w:val="20"/>
              </w:rPr>
            </w:pPr>
          </w:p>
        </w:tc>
        <w:tc>
          <w:tcPr>
            <w:tcW w:w="3820" w:type="dxa"/>
            <w:tcBorders>
              <w:top w:val="nil"/>
              <w:bottom w:val="nil"/>
            </w:tcBorders>
            <w:shd w:val="clear" w:color="auto" w:fill="auto"/>
          </w:tcPr>
          <w:p w14:paraId="7EBE0C96" w14:textId="77777777" w:rsidR="00F2387D" w:rsidRPr="00366228" w:rsidRDefault="00F2387D" w:rsidP="0021487B">
            <w:pPr>
              <w:rPr>
                <w:sz w:val="20"/>
                <w:szCs w:val="20"/>
              </w:rPr>
            </w:pPr>
            <w:r>
              <w:rPr>
                <w:sz w:val="20"/>
                <w:szCs w:val="20"/>
              </w:rPr>
              <w:t>The changes to the Use Classes Order in September 2020 has meant that some of the Local Plan Retail policies have become out of date, limiting the effectiveness of how these policies could be monitored.</w:t>
            </w:r>
          </w:p>
        </w:tc>
      </w:tr>
      <w:tr w:rsidR="00F2387D" w:rsidRPr="00366228" w14:paraId="66AC05A1" w14:textId="77777777" w:rsidTr="0021487B">
        <w:tc>
          <w:tcPr>
            <w:tcW w:w="5196" w:type="dxa"/>
            <w:tcBorders>
              <w:top w:val="nil"/>
              <w:bottom w:val="nil"/>
            </w:tcBorders>
            <w:shd w:val="clear" w:color="auto" w:fill="auto"/>
          </w:tcPr>
          <w:p w14:paraId="7DFB98C9" w14:textId="77777777" w:rsidR="00F2387D" w:rsidRDefault="00F2387D" w:rsidP="0021487B">
            <w:pPr>
              <w:rPr>
                <w:sz w:val="20"/>
                <w:szCs w:val="20"/>
              </w:rPr>
            </w:pPr>
            <w:r>
              <w:rPr>
                <w:sz w:val="20"/>
                <w:szCs w:val="20"/>
              </w:rPr>
              <w:t>(3</w:t>
            </w:r>
            <w:r w:rsidRPr="00366228">
              <w:rPr>
                <w:sz w:val="20"/>
                <w:szCs w:val="20"/>
              </w:rPr>
              <w:t>) Where a policy specified in a local plan specifies an annual number, or a number relating to any other period of net additional dwellings or net additional affordable dwellings in any part of the local planning authority’s area, the local planning authority’s monitoring report must specify the relevant number for the part of the local planning authority’s area concerned</w:t>
            </w:r>
          </w:p>
        </w:tc>
        <w:tc>
          <w:tcPr>
            <w:tcW w:w="3820" w:type="dxa"/>
            <w:tcBorders>
              <w:top w:val="nil"/>
              <w:bottom w:val="nil"/>
            </w:tcBorders>
            <w:shd w:val="clear" w:color="auto" w:fill="auto"/>
          </w:tcPr>
          <w:p w14:paraId="38215666" w14:textId="77777777" w:rsidR="00F2387D" w:rsidRDefault="00F2387D" w:rsidP="0021487B">
            <w:pPr>
              <w:rPr>
                <w:sz w:val="20"/>
                <w:szCs w:val="20"/>
              </w:rPr>
            </w:pPr>
            <w:r>
              <w:rPr>
                <w:sz w:val="20"/>
                <w:szCs w:val="20"/>
              </w:rPr>
              <w:t xml:space="preserve">This information is included in the Housing section of the AMR.  </w:t>
            </w:r>
          </w:p>
          <w:p w14:paraId="71FC58CC" w14:textId="77777777" w:rsidR="00F2387D" w:rsidRDefault="00F2387D" w:rsidP="0021487B">
            <w:pPr>
              <w:rPr>
                <w:sz w:val="20"/>
                <w:szCs w:val="20"/>
              </w:rPr>
            </w:pPr>
          </w:p>
          <w:p w14:paraId="78E790D4" w14:textId="77777777" w:rsidR="00F2387D" w:rsidRPr="00366228" w:rsidRDefault="00F2387D" w:rsidP="0021487B">
            <w:pPr>
              <w:rPr>
                <w:sz w:val="20"/>
                <w:szCs w:val="20"/>
              </w:rPr>
            </w:pPr>
          </w:p>
        </w:tc>
      </w:tr>
      <w:tr w:rsidR="00F2387D" w:rsidRPr="00366228" w14:paraId="258AA590" w14:textId="77777777" w:rsidTr="0021487B">
        <w:tc>
          <w:tcPr>
            <w:tcW w:w="5196" w:type="dxa"/>
            <w:tcBorders>
              <w:top w:val="nil"/>
              <w:bottom w:val="nil"/>
            </w:tcBorders>
            <w:shd w:val="clear" w:color="auto" w:fill="auto"/>
          </w:tcPr>
          <w:p w14:paraId="7060F1FD" w14:textId="77777777" w:rsidR="00F2387D" w:rsidRDefault="00F2387D" w:rsidP="0021487B">
            <w:pPr>
              <w:rPr>
                <w:sz w:val="20"/>
                <w:szCs w:val="20"/>
              </w:rPr>
            </w:pPr>
            <w:r w:rsidRPr="00366228">
              <w:rPr>
                <w:sz w:val="20"/>
                <w:szCs w:val="20"/>
              </w:rPr>
              <w:t>(a) in the period in respect o</w:t>
            </w:r>
            <w:r>
              <w:rPr>
                <w:sz w:val="20"/>
                <w:szCs w:val="20"/>
              </w:rPr>
              <w:t>f which the report is made, and</w:t>
            </w:r>
          </w:p>
        </w:tc>
        <w:tc>
          <w:tcPr>
            <w:tcW w:w="3820" w:type="dxa"/>
            <w:tcBorders>
              <w:top w:val="nil"/>
              <w:bottom w:val="nil"/>
            </w:tcBorders>
            <w:shd w:val="clear" w:color="auto" w:fill="auto"/>
          </w:tcPr>
          <w:p w14:paraId="52306474" w14:textId="77777777" w:rsidR="00F2387D" w:rsidRPr="00366228" w:rsidRDefault="00F2387D" w:rsidP="0021487B">
            <w:pPr>
              <w:rPr>
                <w:sz w:val="20"/>
                <w:szCs w:val="20"/>
              </w:rPr>
            </w:pPr>
          </w:p>
        </w:tc>
      </w:tr>
      <w:tr w:rsidR="00F2387D" w:rsidRPr="00366228" w14:paraId="003421E4" w14:textId="77777777" w:rsidTr="0021487B">
        <w:tc>
          <w:tcPr>
            <w:tcW w:w="5196" w:type="dxa"/>
            <w:tcBorders>
              <w:top w:val="nil"/>
              <w:bottom w:val="nil"/>
            </w:tcBorders>
            <w:shd w:val="clear" w:color="auto" w:fill="auto"/>
          </w:tcPr>
          <w:p w14:paraId="52FE3C9C" w14:textId="77777777" w:rsidR="00F2387D" w:rsidRDefault="00F2387D" w:rsidP="0021487B">
            <w:pPr>
              <w:rPr>
                <w:sz w:val="20"/>
                <w:szCs w:val="20"/>
              </w:rPr>
            </w:pPr>
            <w:r w:rsidRPr="00366228">
              <w:rPr>
                <w:sz w:val="20"/>
                <w:szCs w:val="20"/>
              </w:rPr>
              <w:lastRenderedPageBreak/>
              <w:t>(b) since the policy was first published, adopted or approved</w:t>
            </w:r>
          </w:p>
          <w:p w14:paraId="7E680875" w14:textId="77777777" w:rsidR="00F2387D" w:rsidRPr="00366228" w:rsidRDefault="00F2387D" w:rsidP="0021487B">
            <w:pPr>
              <w:rPr>
                <w:sz w:val="20"/>
                <w:szCs w:val="20"/>
              </w:rPr>
            </w:pPr>
          </w:p>
        </w:tc>
        <w:tc>
          <w:tcPr>
            <w:tcW w:w="3820" w:type="dxa"/>
            <w:tcBorders>
              <w:top w:val="nil"/>
              <w:bottom w:val="nil"/>
            </w:tcBorders>
            <w:shd w:val="clear" w:color="auto" w:fill="auto"/>
          </w:tcPr>
          <w:p w14:paraId="78195DE5" w14:textId="77777777" w:rsidR="00F2387D" w:rsidRPr="00366228" w:rsidRDefault="00F2387D" w:rsidP="0021487B">
            <w:pPr>
              <w:rPr>
                <w:sz w:val="20"/>
                <w:szCs w:val="20"/>
              </w:rPr>
            </w:pPr>
          </w:p>
        </w:tc>
      </w:tr>
      <w:tr w:rsidR="00F2387D" w:rsidRPr="00366228" w14:paraId="0E922565" w14:textId="77777777" w:rsidTr="0021487B">
        <w:tc>
          <w:tcPr>
            <w:tcW w:w="5196" w:type="dxa"/>
            <w:tcBorders>
              <w:top w:val="nil"/>
              <w:bottom w:val="nil"/>
            </w:tcBorders>
            <w:shd w:val="clear" w:color="auto" w:fill="auto"/>
          </w:tcPr>
          <w:p w14:paraId="6B04D981" w14:textId="77777777" w:rsidR="00F2387D" w:rsidRPr="00366228" w:rsidRDefault="00F2387D" w:rsidP="0021487B">
            <w:pPr>
              <w:rPr>
                <w:sz w:val="20"/>
                <w:szCs w:val="20"/>
              </w:rPr>
            </w:pPr>
            <w:r w:rsidRPr="00366228">
              <w:rPr>
                <w:sz w:val="20"/>
                <w:szCs w:val="20"/>
              </w:rPr>
              <w:t>(4) Where a local planning authority have made a neighbourhood development order or a neighbourhood development plan, the local planning authority’s monitoring report must contain details of these documents</w:t>
            </w:r>
          </w:p>
        </w:tc>
        <w:tc>
          <w:tcPr>
            <w:tcW w:w="3820" w:type="dxa"/>
            <w:tcBorders>
              <w:top w:val="nil"/>
              <w:bottom w:val="nil"/>
            </w:tcBorders>
            <w:shd w:val="clear" w:color="auto" w:fill="auto"/>
          </w:tcPr>
          <w:p w14:paraId="3419141D" w14:textId="77777777" w:rsidR="00F2387D" w:rsidRPr="00366228" w:rsidRDefault="00F2387D" w:rsidP="0021487B">
            <w:pPr>
              <w:rPr>
                <w:sz w:val="20"/>
                <w:szCs w:val="20"/>
              </w:rPr>
            </w:pPr>
            <w:r w:rsidRPr="00366228">
              <w:rPr>
                <w:sz w:val="20"/>
                <w:szCs w:val="20"/>
              </w:rPr>
              <w:t>To date, the following neighbourhood plans have been made:</w:t>
            </w:r>
          </w:p>
          <w:p w14:paraId="41257420" w14:textId="77777777" w:rsidR="00F2387D" w:rsidRPr="00366228" w:rsidRDefault="00F2387D" w:rsidP="009978CB">
            <w:pPr>
              <w:numPr>
                <w:ilvl w:val="0"/>
                <w:numId w:val="12"/>
              </w:numPr>
              <w:rPr>
                <w:sz w:val="20"/>
                <w:szCs w:val="20"/>
              </w:rPr>
            </w:pPr>
            <w:r w:rsidRPr="00366228">
              <w:rPr>
                <w:sz w:val="20"/>
                <w:szCs w:val="20"/>
              </w:rPr>
              <w:t>Headington Neighbourhood Plan</w:t>
            </w:r>
          </w:p>
          <w:p w14:paraId="54E4D66D" w14:textId="77777777" w:rsidR="00F2387D" w:rsidRDefault="00F2387D" w:rsidP="009978CB">
            <w:pPr>
              <w:numPr>
                <w:ilvl w:val="0"/>
                <w:numId w:val="12"/>
              </w:numPr>
              <w:rPr>
                <w:sz w:val="20"/>
                <w:szCs w:val="20"/>
              </w:rPr>
            </w:pPr>
            <w:r w:rsidRPr="00366228">
              <w:rPr>
                <w:sz w:val="20"/>
                <w:szCs w:val="20"/>
              </w:rPr>
              <w:t xml:space="preserve">Summertown and St Margaret’s </w:t>
            </w:r>
          </w:p>
          <w:p w14:paraId="6A02F587" w14:textId="77777777" w:rsidR="00F2387D" w:rsidRPr="00876934" w:rsidRDefault="00F2387D" w:rsidP="0021487B">
            <w:pPr>
              <w:rPr>
                <w:sz w:val="20"/>
                <w:szCs w:val="20"/>
              </w:rPr>
            </w:pPr>
            <w:r w:rsidRPr="00366228">
              <w:rPr>
                <w:sz w:val="20"/>
                <w:szCs w:val="20"/>
              </w:rPr>
              <w:t>No neighbourhood development orders have been made. Further information is included in the Neighbourhood Planning section of the AMR</w:t>
            </w:r>
          </w:p>
        </w:tc>
      </w:tr>
      <w:tr w:rsidR="00F2387D" w:rsidRPr="00366228" w14:paraId="05B43F97" w14:textId="77777777" w:rsidTr="0021487B">
        <w:tc>
          <w:tcPr>
            <w:tcW w:w="5196" w:type="dxa"/>
            <w:tcBorders>
              <w:top w:val="nil"/>
              <w:bottom w:val="nil"/>
            </w:tcBorders>
            <w:shd w:val="clear" w:color="auto" w:fill="auto"/>
          </w:tcPr>
          <w:p w14:paraId="17B15601" w14:textId="77777777" w:rsidR="00F2387D" w:rsidRDefault="00F2387D" w:rsidP="0021487B">
            <w:pPr>
              <w:rPr>
                <w:sz w:val="20"/>
                <w:szCs w:val="20"/>
              </w:rPr>
            </w:pPr>
            <w:r>
              <w:rPr>
                <w:sz w:val="20"/>
                <w:szCs w:val="20"/>
              </w:rPr>
              <w:t>(</w:t>
            </w:r>
            <w:r w:rsidRPr="00366228">
              <w:rPr>
                <w:sz w:val="20"/>
                <w:szCs w:val="20"/>
              </w:rPr>
              <w:t xml:space="preserve">5) Where a local planning authority have prepared a report pursuant to regulation </w:t>
            </w:r>
            <w:r>
              <w:rPr>
                <w:sz w:val="20"/>
                <w:szCs w:val="20"/>
              </w:rPr>
              <w:t>121A(1)(b) o</w:t>
            </w:r>
            <w:r w:rsidRPr="00366228">
              <w:rPr>
                <w:sz w:val="20"/>
                <w:szCs w:val="20"/>
              </w:rPr>
              <w:t xml:space="preserve">f the Community Infrastructure Levy Regulations 2010, the local planning authority’s monitoring report must contain the information specified in </w:t>
            </w:r>
            <w:r>
              <w:rPr>
                <w:sz w:val="20"/>
                <w:szCs w:val="20"/>
              </w:rPr>
              <w:t>paragraph 1 of Schedule 2 to those Regu</w:t>
            </w:r>
            <w:r w:rsidRPr="00366228">
              <w:rPr>
                <w:sz w:val="20"/>
                <w:szCs w:val="20"/>
              </w:rPr>
              <w:t>lations</w:t>
            </w:r>
          </w:p>
          <w:p w14:paraId="093D34B1" w14:textId="77777777" w:rsidR="00F2387D" w:rsidRPr="00366228" w:rsidRDefault="00F2387D" w:rsidP="0021487B">
            <w:pPr>
              <w:rPr>
                <w:sz w:val="20"/>
                <w:szCs w:val="20"/>
              </w:rPr>
            </w:pPr>
          </w:p>
        </w:tc>
        <w:tc>
          <w:tcPr>
            <w:tcW w:w="3820" w:type="dxa"/>
            <w:tcBorders>
              <w:top w:val="nil"/>
              <w:bottom w:val="nil"/>
            </w:tcBorders>
            <w:shd w:val="clear" w:color="auto" w:fill="auto"/>
          </w:tcPr>
          <w:p w14:paraId="0C1B12FE" w14:textId="77777777" w:rsidR="00F2387D" w:rsidRPr="00366228" w:rsidRDefault="00F2387D" w:rsidP="0021487B">
            <w:pPr>
              <w:rPr>
                <w:sz w:val="20"/>
                <w:szCs w:val="20"/>
              </w:rPr>
            </w:pPr>
            <w:r w:rsidRPr="00366228">
              <w:rPr>
                <w:sz w:val="20"/>
                <w:szCs w:val="20"/>
              </w:rPr>
              <w:t xml:space="preserve">This information is included in the </w:t>
            </w:r>
            <w:r>
              <w:rPr>
                <w:sz w:val="20"/>
                <w:szCs w:val="20"/>
              </w:rPr>
              <w:t xml:space="preserve">Infrastructure Funding Statement. </w:t>
            </w:r>
          </w:p>
        </w:tc>
      </w:tr>
      <w:tr w:rsidR="00F2387D" w:rsidRPr="00366228" w14:paraId="071107B6" w14:textId="77777777" w:rsidTr="0021487B">
        <w:tc>
          <w:tcPr>
            <w:tcW w:w="5196" w:type="dxa"/>
            <w:tcBorders>
              <w:top w:val="nil"/>
              <w:bottom w:val="nil"/>
            </w:tcBorders>
            <w:shd w:val="clear" w:color="auto" w:fill="auto"/>
          </w:tcPr>
          <w:p w14:paraId="6EF848DD" w14:textId="77777777" w:rsidR="00F2387D" w:rsidRDefault="00F2387D" w:rsidP="0021487B">
            <w:pPr>
              <w:rPr>
                <w:sz w:val="20"/>
                <w:szCs w:val="20"/>
              </w:rPr>
            </w:pPr>
            <w:r w:rsidRPr="00366228">
              <w:rPr>
                <w:sz w:val="20"/>
                <w:szCs w:val="20"/>
              </w:rPr>
              <w:t>(6) Where a local planning authority have co-operated with another local planning authority, county council, or a body or person prescribed under section 33A of the Act, the local planning authority’s monitoring report must give details of what action they have taken during th</w:t>
            </w:r>
            <w:r>
              <w:rPr>
                <w:sz w:val="20"/>
                <w:szCs w:val="20"/>
              </w:rPr>
              <w:t>e period covered by the report.</w:t>
            </w:r>
          </w:p>
          <w:p w14:paraId="46102B4A" w14:textId="77777777" w:rsidR="00F2387D" w:rsidRPr="00366228" w:rsidRDefault="00F2387D" w:rsidP="0021487B">
            <w:pPr>
              <w:rPr>
                <w:sz w:val="20"/>
                <w:szCs w:val="20"/>
              </w:rPr>
            </w:pPr>
          </w:p>
        </w:tc>
        <w:tc>
          <w:tcPr>
            <w:tcW w:w="3820" w:type="dxa"/>
            <w:tcBorders>
              <w:top w:val="nil"/>
              <w:bottom w:val="nil"/>
            </w:tcBorders>
            <w:shd w:val="clear" w:color="auto" w:fill="auto"/>
          </w:tcPr>
          <w:p w14:paraId="75598A06" w14:textId="77777777" w:rsidR="00F2387D" w:rsidRPr="00366228" w:rsidRDefault="00F2387D" w:rsidP="0021487B">
            <w:pPr>
              <w:rPr>
                <w:sz w:val="20"/>
                <w:szCs w:val="20"/>
              </w:rPr>
            </w:pPr>
          </w:p>
        </w:tc>
      </w:tr>
      <w:tr w:rsidR="00F2387D" w:rsidRPr="00366228" w14:paraId="77CCA2CA" w14:textId="77777777" w:rsidTr="0021487B">
        <w:tc>
          <w:tcPr>
            <w:tcW w:w="5196" w:type="dxa"/>
            <w:tcBorders>
              <w:top w:val="nil"/>
              <w:bottom w:val="nil"/>
            </w:tcBorders>
            <w:shd w:val="clear" w:color="auto" w:fill="auto"/>
          </w:tcPr>
          <w:p w14:paraId="33618A97" w14:textId="77777777" w:rsidR="00F2387D" w:rsidRDefault="00F2387D" w:rsidP="0021487B">
            <w:pPr>
              <w:rPr>
                <w:sz w:val="20"/>
                <w:szCs w:val="20"/>
              </w:rPr>
            </w:pPr>
            <w:r w:rsidRPr="00366228">
              <w:rPr>
                <w:sz w:val="20"/>
                <w:szCs w:val="20"/>
              </w:rPr>
              <w:t>(7) A local planning authority must make any up-to-date information, which they have collected for monitoring purposes, available in accordance with regulation 35 as soon as possible after the</w:t>
            </w:r>
            <w:r>
              <w:rPr>
                <w:sz w:val="20"/>
                <w:szCs w:val="20"/>
              </w:rPr>
              <w:t xml:space="preserve"> information becomes available.</w:t>
            </w:r>
          </w:p>
          <w:p w14:paraId="400E828B" w14:textId="77777777" w:rsidR="00F2387D" w:rsidRPr="00366228" w:rsidRDefault="00F2387D" w:rsidP="0021487B">
            <w:pPr>
              <w:rPr>
                <w:sz w:val="20"/>
                <w:szCs w:val="20"/>
              </w:rPr>
            </w:pPr>
          </w:p>
        </w:tc>
        <w:tc>
          <w:tcPr>
            <w:tcW w:w="3820" w:type="dxa"/>
            <w:tcBorders>
              <w:top w:val="nil"/>
              <w:bottom w:val="nil"/>
            </w:tcBorders>
            <w:shd w:val="clear" w:color="auto" w:fill="auto"/>
          </w:tcPr>
          <w:p w14:paraId="07B2F779" w14:textId="77777777" w:rsidR="00F2387D" w:rsidRPr="00366228" w:rsidRDefault="00F2387D" w:rsidP="0021487B">
            <w:pPr>
              <w:rPr>
                <w:sz w:val="20"/>
                <w:szCs w:val="20"/>
              </w:rPr>
            </w:pPr>
            <w:r w:rsidRPr="00366228">
              <w:rPr>
                <w:sz w:val="20"/>
                <w:szCs w:val="20"/>
              </w:rPr>
              <w:t>The Annual Monitoring Report is published as soon as possible after the</w:t>
            </w:r>
            <w:r>
              <w:rPr>
                <w:sz w:val="20"/>
                <w:szCs w:val="20"/>
              </w:rPr>
              <w:t xml:space="preserve"> information becomes available.</w:t>
            </w:r>
          </w:p>
        </w:tc>
      </w:tr>
      <w:tr w:rsidR="00F2387D" w:rsidRPr="00366228" w14:paraId="30077514" w14:textId="77777777" w:rsidTr="0021487B">
        <w:tc>
          <w:tcPr>
            <w:tcW w:w="5196" w:type="dxa"/>
            <w:tcBorders>
              <w:top w:val="nil"/>
              <w:bottom w:val="nil"/>
            </w:tcBorders>
            <w:shd w:val="clear" w:color="auto" w:fill="auto"/>
          </w:tcPr>
          <w:p w14:paraId="008E0451" w14:textId="77777777" w:rsidR="00F2387D" w:rsidRDefault="00F2387D" w:rsidP="0021487B">
            <w:pPr>
              <w:rPr>
                <w:b/>
                <w:sz w:val="20"/>
                <w:szCs w:val="20"/>
              </w:rPr>
            </w:pPr>
            <w:r w:rsidRPr="00366228">
              <w:rPr>
                <w:b/>
                <w:sz w:val="20"/>
                <w:szCs w:val="20"/>
              </w:rPr>
              <w:t>Regulation 35 of The Town and Country Planning (Local Planning) (</w:t>
            </w:r>
            <w:r>
              <w:rPr>
                <w:b/>
                <w:sz w:val="20"/>
                <w:szCs w:val="20"/>
              </w:rPr>
              <w:t>England) Regulations 2012</w:t>
            </w:r>
          </w:p>
          <w:p w14:paraId="63483E50" w14:textId="77777777" w:rsidR="00F2387D" w:rsidRPr="001C0877" w:rsidRDefault="00F2387D" w:rsidP="0021487B">
            <w:pPr>
              <w:rPr>
                <w:b/>
                <w:sz w:val="20"/>
                <w:szCs w:val="20"/>
              </w:rPr>
            </w:pPr>
          </w:p>
        </w:tc>
        <w:tc>
          <w:tcPr>
            <w:tcW w:w="3820" w:type="dxa"/>
            <w:tcBorders>
              <w:top w:val="nil"/>
              <w:bottom w:val="nil"/>
            </w:tcBorders>
            <w:shd w:val="clear" w:color="auto" w:fill="auto"/>
          </w:tcPr>
          <w:p w14:paraId="658B6751" w14:textId="77777777" w:rsidR="00F2387D" w:rsidRPr="00366228" w:rsidRDefault="00F2387D" w:rsidP="0021487B">
            <w:pPr>
              <w:rPr>
                <w:sz w:val="20"/>
                <w:szCs w:val="20"/>
              </w:rPr>
            </w:pPr>
          </w:p>
        </w:tc>
      </w:tr>
      <w:tr w:rsidR="00F2387D" w:rsidRPr="00366228" w14:paraId="63CCF799" w14:textId="77777777" w:rsidTr="0021487B">
        <w:tc>
          <w:tcPr>
            <w:tcW w:w="5196" w:type="dxa"/>
            <w:tcBorders>
              <w:top w:val="nil"/>
              <w:bottom w:val="nil"/>
            </w:tcBorders>
            <w:shd w:val="clear" w:color="auto" w:fill="auto"/>
          </w:tcPr>
          <w:p w14:paraId="29235443" w14:textId="77777777" w:rsidR="00F2387D" w:rsidRPr="00366228" w:rsidRDefault="00F2387D" w:rsidP="0021487B">
            <w:pPr>
              <w:rPr>
                <w:sz w:val="20"/>
                <w:szCs w:val="20"/>
              </w:rPr>
            </w:pPr>
            <w:r w:rsidRPr="00366228">
              <w:rPr>
                <w:sz w:val="20"/>
                <w:szCs w:val="20"/>
              </w:rPr>
              <w:t xml:space="preserve">(1) A document is to be taken to be made available by </w:t>
            </w:r>
            <w:r>
              <w:rPr>
                <w:sz w:val="20"/>
                <w:szCs w:val="20"/>
              </w:rPr>
              <w:t>a local planning authority when</w:t>
            </w:r>
          </w:p>
        </w:tc>
        <w:tc>
          <w:tcPr>
            <w:tcW w:w="3820" w:type="dxa"/>
            <w:tcBorders>
              <w:top w:val="nil"/>
              <w:bottom w:val="nil"/>
            </w:tcBorders>
            <w:shd w:val="clear" w:color="auto" w:fill="auto"/>
          </w:tcPr>
          <w:p w14:paraId="4B645991" w14:textId="77777777" w:rsidR="00F2387D" w:rsidRPr="00366228" w:rsidRDefault="00F2387D" w:rsidP="0021487B">
            <w:pPr>
              <w:rPr>
                <w:sz w:val="20"/>
                <w:szCs w:val="20"/>
              </w:rPr>
            </w:pPr>
          </w:p>
        </w:tc>
      </w:tr>
      <w:tr w:rsidR="00F2387D" w:rsidRPr="00366228" w14:paraId="7373D14C" w14:textId="77777777" w:rsidTr="0021487B">
        <w:tc>
          <w:tcPr>
            <w:tcW w:w="5196" w:type="dxa"/>
            <w:tcBorders>
              <w:top w:val="nil"/>
              <w:bottom w:val="nil"/>
            </w:tcBorders>
            <w:shd w:val="clear" w:color="auto" w:fill="auto"/>
          </w:tcPr>
          <w:p w14:paraId="4943A650" w14:textId="77777777" w:rsidR="00F2387D" w:rsidRPr="00366228" w:rsidRDefault="00F2387D" w:rsidP="0021487B">
            <w:pPr>
              <w:rPr>
                <w:sz w:val="20"/>
                <w:szCs w:val="20"/>
              </w:rPr>
            </w:pPr>
            <w:r w:rsidRPr="00366228">
              <w:rPr>
                <w:sz w:val="20"/>
                <w:szCs w:val="20"/>
              </w:rPr>
              <w:t>(a) made available for inspection, at their principal office and at such other places within their area as the local planning authority consider appropriate, du</w:t>
            </w:r>
            <w:r>
              <w:rPr>
                <w:sz w:val="20"/>
                <w:szCs w:val="20"/>
              </w:rPr>
              <w:t xml:space="preserve">ring normal office hours, and </w:t>
            </w:r>
          </w:p>
        </w:tc>
        <w:tc>
          <w:tcPr>
            <w:tcW w:w="3820" w:type="dxa"/>
            <w:tcBorders>
              <w:top w:val="nil"/>
              <w:bottom w:val="nil"/>
            </w:tcBorders>
            <w:shd w:val="clear" w:color="auto" w:fill="auto"/>
          </w:tcPr>
          <w:p w14:paraId="43501CF6" w14:textId="77777777" w:rsidR="00F2387D" w:rsidRPr="00366228" w:rsidRDefault="00F2387D" w:rsidP="0021487B">
            <w:pPr>
              <w:rPr>
                <w:sz w:val="20"/>
                <w:szCs w:val="20"/>
              </w:rPr>
            </w:pPr>
            <w:r w:rsidRPr="00366228">
              <w:rPr>
                <w:sz w:val="20"/>
                <w:szCs w:val="20"/>
              </w:rPr>
              <w:t xml:space="preserve">Due to COVID-19 restrictions there is </w:t>
            </w:r>
            <w:r>
              <w:rPr>
                <w:sz w:val="20"/>
                <w:szCs w:val="20"/>
              </w:rPr>
              <w:t xml:space="preserve">restricted </w:t>
            </w:r>
            <w:r w:rsidRPr="00366228">
              <w:rPr>
                <w:sz w:val="20"/>
                <w:szCs w:val="20"/>
              </w:rPr>
              <w:t xml:space="preserve">public access to our main offices at St </w:t>
            </w:r>
            <w:proofErr w:type="spellStart"/>
            <w:r w:rsidRPr="00366228">
              <w:rPr>
                <w:sz w:val="20"/>
                <w:szCs w:val="20"/>
              </w:rPr>
              <w:t>Aldate’s</w:t>
            </w:r>
            <w:proofErr w:type="spellEnd"/>
            <w:r w:rsidRPr="00366228">
              <w:rPr>
                <w:sz w:val="20"/>
                <w:szCs w:val="20"/>
              </w:rPr>
              <w:t xml:space="preserve"> Chambers offices.  The AMR will remain publically available</w:t>
            </w:r>
            <w:r>
              <w:rPr>
                <w:sz w:val="20"/>
                <w:szCs w:val="20"/>
              </w:rPr>
              <w:t xml:space="preserve"> on the City Council’s website.</w:t>
            </w:r>
          </w:p>
        </w:tc>
      </w:tr>
      <w:tr w:rsidR="00F2387D" w:rsidRPr="00366228" w14:paraId="4D65130B" w14:textId="77777777" w:rsidTr="0021487B">
        <w:tc>
          <w:tcPr>
            <w:tcW w:w="5196" w:type="dxa"/>
            <w:tcBorders>
              <w:top w:val="nil"/>
              <w:bottom w:val="single" w:sz="4" w:space="0" w:color="auto"/>
            </w:tcBorders>
            <w:shd w:val="clear" w:color="auto" w:fill="auto"/>
          </w:tcPr>
          <w:p w14:paraId="3D3138D6" w14:textId="77777777" w:rsidR="00F2387D" w:rsidRPr="00366228" w:rsidRDefault="00F2387D" w:rsidP="0021487B">
            <w:pPr>
              <w:rPr>
                <w:sz w:val="20"/>
                <w:szCs w:val="20"/>
              </w:rPr>
            </w:pPr>
            <w:r>
              <w:rPr>
                <w:sz w:val="20"/>
                <w:szCs w:val="20"/>
              </w:rPr>
              <w:t>(</w:t>
            </w:r>
            <w:r w:rsidRPr="00366228">
              <w:rPr>
                <w:sz w:val="20"/>
                <w:szCs w:val="20"/>
              </w:rPr>
              <w:t>b) published on the local planning authority’s website</w:t>
            </w:r>
          </w:p>
        </w:tc>
        <w:tc>
          <w:tcPr>
            <w:tcW w:w="3820" w:type="dxa"/>
            <w:tcBorders>
              <w:top w:val="nil"/>
              <w:bottom w:val="single" w:sz="4" w:space="0" w:color="auto"/>
            </w:tcBorders>
            <w:shd w:val="clear" w:color="auto" w:fill="auto"/>
          </w:tcPr>
          <w:p w14:paraId="245E36B2" w14:textId="77777777" w:rsidR="00F2387D" w:rsidRPr="00366228" w:rsidRDefault="00F2387D" w:rsidP="0021487B">
            <w:pPr>
              <w:rPr>
                <w:sz w:val="20"/>
                <w:szCs w:val="20"/>
              </w:rPr>
            </w:pPr>
          </w:p>
        </w:tc>
      </w:tr>
      <w:tr w:rsidR="00F2387D" w:rsidRPr="00366228" w14:paraId="7F89BADF" w14:textId="77777777" w:rsidTr="0021487B">
        <w:tc>
          <w:tcPr>
            <w:tcW w:w="5196" w:type="dxa"/>
            <w:tcBorders>
              <w:bottom w:val="nil"/>
            </w:tcBorders>
            <w:shd w:val="clear" w:color="auto" w:fill="auto"/>
          </w:tcPr>
          <w:p w14:paraId="399878AB" w14:textId="77777777" w:rsidR="00F2387D" w:rsidRPr="001C0877" w:rsidRDefault="00F2387D" w:rsidP="0021487B">
            <w:pPr>
              <w:rPr>
                <w:b/>
                <w:sz w:val="20"/>
                <w:szCs w:val="20"/>
              </w:rPr>
            </w:pPr>
          </w:p>
        </w:tc>
        <w:tc>
          <w:tcPr>
            <w:tcW w:w="3820" w:type="dxa"/>
            <w:tcBorders>
              <w:bottom w:val="nil"/>
            </w:tcBorders>
            <w:shd w:val="clear" w:color="auto" w:fill="auto"/>
          </w:tcPr>
          <w:p w14:paraId="295A12A3" w14:textId="77777777" w:rsidR="00F2387D" w:rsidRPr="00366228" w:rsidRDefault="00F2387D" w:rsidP="0021487B">
            <w:pPr>
              <w:rPr>
                <w:sz w:val="20"/>
                <w:szCs w:val="20"/>
              </w:rPr>
            </w:pPr>
          </w:p>
        </w:tc>
      </w:tr>
      <w:tr w:rsidR="00F2387D" w:rsidRPr="00366228" w14:paraId="1B5DCACF" w14:textId="77777777" w:rsidTr="0021487B">
        <w:tc>
          <w:tcPr>
            <w:tcW w:w="5196" w:type="dxa"/>
            <w:tcBorders>
              <w:top w:val="nil"/>
              <w:bottom w:val="nil"/>
            </w:tcBorders>
            <w:shd w:val="clear" w:color="auto" w:fill="auto"/>
          </w:tcPr>
          <w:p w14:paraId="61D2FE09" w14:textId="77777777" w:rsidR="00F2387D" w:rsidRPr="003210CA" w:rsidRDefault="00F2387D" w:rsidP="0021487B">
            <w:pPr>
              <w:rPr>
                <w:b/>
                <w:sz w:val="20"/>
                <w:szCs w:val="20"/>
              </w:rPr>
            </w:pPr>
            <w:r>
              <w:rPr>
                <w:b/>
                <w:sz w:val="20"/>
                <w:szCs w:val="20"/>
              </w:rPr>
              <w:t xml:space="preserve">Under </w:t>
            </w:r>
            <w:r w:rsidRPr="003210CA">
              <w:rPr>
                <w:b/>
                <w:sz w:val="20"/>
                <w:szCs w:val="20"/>
              </w:rPr>
              <w:t>Regulation 121A of the C</w:t>
            </w:r>
            <w:r>
              <w:rPr>
                <w:b/>
                <w:sz w:val="20"/>
                <w:szCs w:val="20"/>
              </w:rPr>
              <w:t xml:space="preserve">ommunity </w:t>
            </w:r>
            <w:r w:rsidRPr="003210CA">
              <w:rPr>
                <w:b/>
                <w:sz w:val="20"/>
                <w:szCs w:val="20"/>
              </w:rPr>
              <w:t>I</w:t>
            </w:r>
            <w:r>
              <w:rPr>
                <w:b/>
                <w:sz w:val="20"/>
                <w:szCs w:val="20"/>
              </w:rPr>
              <w:t xml:space="preserve">nfrastructure </w:t>
            </w:r>
            <w:r w:rsidRPr="003210CA">
              <w:rPr>
                <w:b/>
                <w:sz w:val="20"/>
                <w:szCs w:val="20"/>
              </w:rPr>
              <w:t>L</w:t>
            </w:r>
            <w:r>
              <w:rPr>
                <w:b/>
                <w:sz w:val="20"/>
                <w:szCs w:val="20"/>
              </w:rPr>
              <w:t>evy</w:t>
            </w:r>
            <w:r w:rsidRPr="003210CA">
              <w:rPr>
                <w:b/>
                <w:sz w:val="20"/>
                <w:szCs w:val="20"/>
              </w:rPr>
              <w:t xml:space="preserve"> Regulations (Amendment) </w:t>
            </w:r>
            <w:r>
              <w:rPr>
                <w:b/>
                <w:sz w:val="20"/>
                <w:szCs w:val="20"/>
              </w:rPr>
              <w:t xml:space="preserve">(England) (No. 2) Regulations </w:t>
            </w:r>
            <w:r w:rsidRPr="003210CA">
              <w:rPr>
                <w:b/>
                <w:sz w:val="20"/>
                <w:szCs w:val="20"/>
              </w:rPr>
              <w:t>2019</w:t>
            </w:r>
            <w:r>
              <w:rPr>
                <w:b/>
                <w:sz w:val="20"/>
                <w:szCs w:val="20"/>
              </w:rPr>
              <w:t xml:space="preserve"> we </w:t>
            </w:r>
            <w:r w:rsidRPr="003210CA">
              <w:rPr>
                <w:b/>
                <w:sz w:val="20"/>
                <w:szCs w:val="20"/>
              </w:rPr>
              <w:t xml:space="preserve">are required to publish an annual report on infrastructure delivery through CIL and section 106.  This replaces the previous reporting under CIL regulation 62. </w:t>
            </w:r>
          </w:p>
          <w:p w14:paraId="76689760" w14:textId="77777777" w:rsidR="00F2387D" w:rsidRPr="001C0877" w:rsidRDefault="00F2387D" w:rsidP="0021487B">
            <w:pPr>
              <w:rPr>
                <w:sz w:val="20"/>
                <w:szCs w:val="20"/>
              </w:rPr>
            </w:pPr>
          </w:p>
        </w:tc>
        <w:tc>
          <w:tcPr>
            <w:tcW w:w="3820" w:type="dxa"/>
            <w:tcBorders>
              <w:top w:val="nil"/>
              <w:bottom w:val="nil"/>
            </w:tcBorders>
            <w:shd w:val="clear" w:color="auto" w:fill="auto"/>
          </w:tcPr>
          <w:p w14:paraId="25844499" w14:textId="77777777" w:rsidR="00F2387D" w:rsidRDefault="00F2387D" w:rsidP="0021487B">
            <w:pPr>
              <w:rPr>
                <w:sz w:val="20"/>
                <w:szCs w:val="20"/>
              </w:rPr>
            </w:pPr>
          </w:p>
          <w:p w14:paraId="5E486BD6" w14:textId="77777777" w:rsidR="00F2387D" w:rsidRPr="00366228" w:rsidRDefault="00F2387D" w:rsidP="0021487B">
            <w:pPr>
              <w:rPr>
                <w:sz w:val="20"/>
                <w:szCs w:val="20"/>
              </w:rPr>
            </w:pPr>
            <w:r w:rsidRPr="00366228">
              <w:rPr>
                <w:sz w:val="20"/>
                <w:szCs w:val="20"/>
              </w:rPr>
              <w:t xml:space="preserve">This information is included in the </w:t>
            </w:r>
            <w:r>
              <w:rPr>
                <w:sz w:val="20"/>
                <w:szCs w:val="20"/>
              </w:rPr>
              <w:t xml:space="preserve">Infrastructure Funding Statement, this is a separate document to the AMR.  </w:t>
            </w:r>
          </w:p>
        </w:tc>
      </w:tr>
      <w:tr w:rsidR="00F2387D" w:rsidRPr="00366228" w14:paraId="23FA891F" w14:textId="77777777" w:rsidTr="0021487B">
        <w:tc>
          <w:tcPr>
            <w:tcW w:w="5196" w:type="dxa"/>
            <w:tcBorders>
              <w:top w:val="nil"/>
              <w:bottom w:val="nil"/>
            </w:tcBorders>
            <w:shd w:val="clear" w:color="auto" w:fill="auto"/>
          </w:tcPr>
          <w:p w14:paraId="783A2769" w14:textId="77777777" w:rsidR="00F2387D" w:rsidRPr="00366228" w:rsidRDefault="00F2387D" w:rsidP="0021487B">
            <w:pPr>
              <w:rPr>
                <w:sz w:val="20"/>
                <w:szCs w:val="20"/>
              </w:rPr>
            </w:pPr>
          </w:p>
        </w:tc>
        <w:tc>
          <w:tcPr>
            <w:tcW w:w="3820" w:type="dxa"/>
            <w:tcBorders>
              <w:top w:val="nil"/>
              <w:bottom w:val="nil"/>
            </w:tcBorders>
            <w:shd w:val="clear" w:color="auto" w:fill="auto"/>
          </w:tcPr>
          <w:p w14:paraId="6A06DA88" w14:textId="77777777" w:rsidR="00F2387D" w:rsidRPr="00366228" w:rsidRDefault="00F2387D" w:rsidP="0021487B">
            <w:pPr>
              <w:rPr>
                <w:sz w:val="20"/>
                <w:szCs w:val="20"/>
              </w:rPr>
            </w:pPr>
          </w:p>
        </w:tc>
      </w:tr>
      <w:tr w:rsidR="00F2387D" w:rsidRPr="00366228" w14:paraId="793C2142" w14:textId="77777777" w:rsidTr="0021487B">
        <w:tc>
          <w:tcPr>
            <w:tcW w:w="5196" w:type="dxa"/>
            <w:tcBorders>
              <w:top w:val="nil"/>
            </w:tcBorders>
            <w:shd w:val="clear" w:color="auto" w:fill="auto"/>
          </w:tcPr>
          <w:p w14:paraId="5D6B2B73" w14:textId="77777777" w:rsidR="00F2387D" w:rsidRPr="00366228" w:rsidRDefault="00F2387D" w:rsidP="0021487B">
            <w:pPr>
              <w:rPr>
                <w:sz w:val="20"/>
                <w:szCs w:val="20"/>
              </w:rPr>
            </w:pPr>
          </w:p>
        </w:tc>
        <w:tc>
          <w:tcPr>
            <w:tcW w:w="3820" w:type="dxa"/>
            <w:tcBorders>
              <w:top w:val="nil"/>
            </w:tcBorders>
            <w:shd w:val="clear" w:color="auto" w:fill="auto"/>
          </w:tcPr>
          <w:p w14:paraId="736EB5AA" w14:textId="77777777" w:rsidR="00F2387D" w:rsidRPr="00366228" w:rsidRDefault="00F2387D" w:rsidP="0021487B">
            <w:pPr>
              <w:rPr>
                <w:sz w:val="20"/>
                <w:szCs w:val="20"/>
              </w:rPr>
            </w:pPr>
          </w:p>
        </w:tc>
      </w:tr>
    </w:tbl>
    <w:p w14:paraId="12D4CD67" w14:textId="77777777" w:rsidR="00F2387D" w:rsidRDefault="00F2387D" w:rsidP="00F2387D">
      <w:pPr>
        <w:tabs>
          <w:tab w:val="left" w:pos="1196"/>
        </w:tabs>
      </w:pPr>
    </w:p>
    <w:p w14:paraId="05FF3AE2" w14:textId="77777777" w:rsidR="00F2387D" w:rsidRDefault="00F2387D" w:rsidP="00EB27AB"/>
    <w:p w14:paraId="1B83433E" w14:textId="3960C357" w:rsidR="00EB27AB" w:rsidRDefault="00EB27AB" w:rsidP="00EB27AB"/>
    <w:p w14:paraId="7D325B50" w14:textId="1149E6F1" w:rsidR="00EB27AB" w:rsidRDefault="00EB27AB" w:rsidP="00F2387D">
      <w:pPr>
        <w:pStyle w:val="Heading1"/>
        <w:rPr>
          <w:rFonts w:eastAsia="Calibri"/>
        </w:rPr>
      </w:pPr>
      <w:bookmarkStart w:id="62" w:name="_Toc88135873"/>
      <w:r w:rsidRPr="7A04C4E7">
        <w:rPr>
          <w:rFonts w:eastAsia="Calibri"/>
        </w:rPr>
        <w:lastRenderedPageBreak/>
        <w:t>Glossary</w:t>
      </w:r>
      <w:bookmarkEnd w:id="62"/>
    </w:p>
    <w:p w14:paraId="5B2D6492" w14:textId="77777777" w:rsidR="00F2387D" w:rsidRPr="00F2387D" w:rsidRDefault="00F2387D" w:rsidP="00F2387D"/>
    <w:tbl>
      <w:tblPr>
        <w:tblW w:w="9540" w:type="dxa"/>
        <w:tblInd w:w="-1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CCFFFF"/>
        <w:tblLook w:val="0000" w:firstRow="0" w:lastRow="0" w:firstColumn="0" w:lastColumn="0" w:noHBand="0" w:noVBand="0"/>
      </w:tblPr>
      <w:tblGrid>
        <w:gridCol w:w="2411"/>
        <w:gridCol w:w="7129"/>
      </w:tblGrid>
      <w:tr w:rsidR="00EB27AB" w:rsidRPr="00EA0B66" w14:paraId="689B2DF5" w14:textId="77777777" w:rsidTr="005F2A3D">
        <w:tc>
          <w:tcPr>
            <w:tcW w:w="2411" w:type="dxa"/>
            <w:shd w:val="clear" w:color="auto" w:fill="7F7F7F" w:themeFill="text1" w:themeFillTint="80"/>
            <w:tcMar>
              <w:top w:w="57" w:type="dxa"/>
              <w:bottom w:w="0" w:type="dxa"/>
            </w:tcMar>
          </w:tcPr>
          <w:p w14:paraId="0FE5FAA9"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Affordable housing</w:t>
            </w:r>
          </w:p>
        </w:tc>
        <w:tc>
          <w:tcPr>
            <w:tcW w:w="7129" w:type="dxa"/>
            <w:shd w:val="clear" w:color="auto" w:fill="F2F2F2" w:themeFill="background1" w:themeFillShade="F2"/>
            <w:tcMar>
              <w:top w:w="85" w:type="dxa"/>
              <w:bottom w:w="0" w:type="dxa"/>
            </w:tcMar>
          </w:tcPr>
          <w:p w14:paraId="04CDDCC5" w14:textId="77777777" w:rsidR="00EB27AB" w:rsidRPr="00EA0B66" w:rsidRDefault="00EB27AB" w:rsidP="005F2A3D">
            <w:pPr>
              <w:tabs>
                <w:tab w:val="center" w:pos="4513"/>
                <w:tab w:val="right" w:pos="9026"/>
              </w:tabs>
              <w:rPr>
                <w:sz w:val="21"/>
                <w:szCs w:val="21"/>
              </w:rPr>
            </w:pPr>
            <w:r w:rsidRPr="00EA0B66">
              <w:rPr>
                <w:sz w:val="21"/>
                <w:szCs w:val="21"/>
              </w:rPr>
              <w:t>Homes that are available at a rent or price that can be afforded by people who are in housing need. It includes social rented housing, intermediate affordable housing and shared ownership housing.</w:t>
            </w:r>
          </w:p>
        </w:tc>
      </w:tr>
      <w:tr w:rsidR="00EB27AB" w:rsidRPr="00EA0B66" w14:paraId="36891697" w14:textId="77777777" w:rsidTr="005F2A3D">
        <w:tc>
          <w:tcPr>
            <w:tcW w:w="2411" w:type="dxa"/>
            <w:shd w:val="clear" w:color="auto" w:fill="7F7F7F" w:themeFill="text1" w:themeFillTint="80"/>
            <w:tcMar>
              <w:top w:w="57" w:type="dxa"/>
              <w:bottom w:w="0" w:type="dxa"/>
            </w:tcMar>
          </w:tcPr>
          <w:p w14:paraId="243EF948"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Appeal</w:t>
            </w:r>
          </w:p>
          <w:p w14:paraId="1EEDFA80" w14:textId="77777777" w:rsidR="00EB27AB" w:rsidRPr="00EA0B66" w:rsidRDefault="00EB27AB" w:rsidP="005F2A3D">
            <w:pPr>
              <w:tabs>
                <w:tab w:val="center" w:pos="4513"/>
                <w:tab w:val="right" w:pos="9026"/>
              </w:tabs>
              <w:rPr>
                <w:b/>
                <w:bCs/>
                <w:color w:val="FFFFFF"/>
                <w:sz w:val="21"/>
                <w:szCs w:val="21"/>
              </w:rPr>
            </w:pPr>
          </w:p>
        </w:tc>
        <w:tc>
          <w:tcPr>
            <w:tcW w:w="7129" w:type="dxa"/>
            <w:shd w:val="clear" w:color="auto" w:fill="F2F2F2" w:themeFill="background1" w:themeFillShade="F2"/>
            <w:tcMar>
              <w:top w:w="85" w:type="dxa"/>
              <w:bottom w:w="0" w:type="dxa"/>
            </w:tcMar>
          </w:tcPr>
          <w:p w14:paraId="2AAFD4F2" w14:textId="77777777" w:rsidR="00EB27AB" w:rsidRPr="00EA0B66" w:rsidRDefault="00EB27AB" w:rsidP="005F2A3D">
            <w:pPr>
              <w:tabs>
                <w:tab w:val="center" w:pos="4513"/>
                <w:tab w:val="right" w:pos="9026"/>
              </w:tabs>
              <w:rPr>
                <w:sz w:val="21"/>
                <w:szCs w:val="21"/>
              </w:rPr>
            </w:pPr>
            <w:r w:rsidRPr="00EA0B66">
              <w:rPr>
                <w:sz w:val="21"/>
                <w:szCs w:val="21"/>
              </w:rPr>
              <w:t>If a planning application is refused, is not determined on time, or is permitted with conditions that the applicant does not agree with, then applicant has the right to appeal. The case will then be reviewed by the Planning Inspectorate.</w:t>
            </w:r>
          </w:p>
        </w:tc>
      </w:tr>
      <w:tr w:rsidR="00EB27AB" w:rsidRPr="00EA0B66" w14:paraId="7BE1FE27" w14:textId="77777777" w:rsidTr="005F2A3D">
        <w:tc>
          <w:tcPr>
            <w:tcW w:w="2411" w:type="dxa"/>
            <w:shd w:val="clear" w:color="auto" w:fill="7F7F7F" w:themeFill="text1" w:themeFillTint="80"/>
            <w:tcMar>
              <w:top w:w="57" w:type="dxa"/>
              <w:bottom w:w="0" w:type="dxa"/>
            </w:tcMar>
          </w:tcPr>
          <w:p w14:paraId="44346E0E"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Area Action Plan (AAP)</w:t>
            </w:r>
          </w:p>
        </w:tc>
        <w:tc>
          <w:tcPr>
            <w:tcW w:w="7129" w:type="dxa"/>
            <w:shd w:val="clear" w:color="auto" w:fill="F2F2F2" w:themeFill="background1" w:themeFillShade="F2"/>
            <w:tcMar>
              <w:top w:w="85" w:type="dxa"/>
              <w:bottom w:w="0" w:type="dxa"/>
            </w:tcMar>
          </w:tcPr>
          <w:p w14:paraId="2A6EE8B4" w14:textId="77777777" w:rsidR="00EB27AB" w:rsidRPr="00EA0B66" w:rsidRDefault="00EB27AB" w:rsidP="005F2A3D">
            <w:pPr>
              <w:tabs>
                <w:tab w:val="center" w:pos="4513"/>
                <w:tab w:val="right" w:pos="9026"/>
              </w:tabs>
              <w:rPr>
                <w:sz w:val="21"/>
                <w:szCs w:val="21"/>
              </w:rPr>
            </w:pPr>
            <w:r w:rsidRPr="00EA0B66">
              <w:t xml:space="preserve"> </w:t>
            </w:r>
            <w:r w:rsidRPr="00EA0B66">
              <w:rPr>
                <w:sz w:val="21"/>
                <w:szCs w:val="21"/>
              </w:rPr>
              <w:t>A Development Plan Document that forms part of the Local Development Framework. AAPs are used to provide the planning framework for areas subject to significant change or where conservation is needed. A key feature is a focus on implementation. Once adopted, the AAP forms the planning policy and spatial framework for the development of the area.</w:t>
            </w:r>
          </w:p>
        </w:tc>
      </w:tr>
      <w:tr w:rsidR="00EB27AB" w:rsidRPr="00EA0B66" w14:paraId="1CDB0CD3" w14:textId="77777777" w:rsidTr="005F2A3D">
        <w:tc>
          <w:tcPr>
            <w:tcW w:w="2411" w:type="dxa"/>
            <w:shd w:val="clear" w:color="auto" w:fill="7F7F7F" w:themeFill="text1" w:themeFillTint="80"/>
            <w:tcMar>
              <w:top w:w="57" w:type="dxa"/>
              <w:bottom w:w="0" w:type="dxa"/>
            </w:tcMar>
          </w:tcPr>
          <w:p w14:paraId="27E02A49"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Article 4 Direction</w:t>
            </w:r>
          </w:p>
        </w:tc>
        <w:tc>
          <w:tcPr>
            <w:tcW w:w="7129" w:type="dxa"/>
            <w:shd w:val="clear" w:color="auto" w:fill="F2F2F2" w:themeFill="background1" w:themeFillShade="F2"/>
            <w:tcMar>
              <w:top w:w="85" w:type="dxa"/>
              <w:bottom w:w="0" w:type="dxa"/>
            </w:tcMar>
          </w:tcPr>
          <w:p w14:paraId="5DC2FFC5" w14:textId="77777777" w:rsidR="00EB27AB" w:rsidRPr="00EA0B66" w:rsidRDefault="00EB27AB" w:rsidP="005F2A3D">
            <w:pPr>
              <w:tabs>
                <w:tab w:val="center" w:pos="4513"/>
                <w:tab w:val="right" w:pos="9026"/>
              </w:tabs>
              <w:rPr>
                <w:sz w:val="21"/>
                <w:szCs w:val="21"/>
              </w:rPr>
            </w:pPr>
            <w:r w:rsidRPr="00EA0B66">
              <w:t xml:space="preserve"> </w:t>
            </w:r>
            <w:r w:rsidRPr="00EA0B66">
              <w:rPr>
                <w:sz w:val="21"/>
                <w:szCs w:val="21"/>
              </w:rPr>
              <w:t>An order that can be imposed by the City Council to formally remove permitted development rights of development, meaning that planning permission is required locally for specific types of changes.</w:t>
            </w:r>
          </w:p>
        </w:tc>
      </w:tr>
      <w:tr w:rsidR="00EB27AB" w:rsidRPr="00EA0B66" w14:paraId="267D13D1" w14:textId="77777777" w:rsidTr="005F2A3D">
        <w:tc>
          <w:tcPr>
            <w:tcW w:w="2411" w:type="dxa"/>
            <w:shd w:val="clear" w:color="auto" w:fill="7F7F7F" w:themeFill="text1" w:themeFillTint="80"/>
            <w:tcMar>
              <w:top w:w="57" w:type="dxa"/>
              <w:bottom w:w="0" w:type="dxa"/>
            </w:tcMar>
          </w:tcPr>
          <w:p w14:paraId="1A87AF7B"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Biodiversity</w:t>
            </w:r>
          </w:p>
        </w:tc>
        <w:tc>
          <w:tcPr>
            <w:tcW w:w="7129" w:type="dxa"/>
            <w:shd w:val="clear" w:color="auto" w:fill="F2F2F2" w:themeFill="background1" w:themeFillShade="F2"/>
            <w:tcMar>
              <w:top w:w="85" w:type="dxa"/>
              <w:bottom w:w="0" w:type="dxa"/>
            </w:tcMar>
          </w:tcPr>
          <w:p w14:paraId="6263B755" w14:textId="77777777" w:rsidR="00EB27AB" w:rsidRPr="00EA0B66" w:rsidRDefault="00EB27AB" w:rsidP="005F2A3D">
            <w:pPr>
              <w:tabs>
                <w:tab w:val="center" w:pos="4513"/>
                <w:tab w:val="right" w:pos="9026"/>
              </w:tabs>
              <w:rPr>
                <w:sz w:val="21"/>
                <w:szCs w:val="21"/>
              </w:rPr>
            </w:pPr>
            <w:r w:rsidRPr="00EA0B66">
              <w:rPr>
                <w:sz w:val="21"/>
                <w:szCs w:val="21"/>
              </w:rPr>
              <w:t>This refers to the variety of plants and animals and other living things in a particular area or region. It encompasses habitat diversity, species diversity and genetic diversity. Biodiversity has value in its own right and has social and economic value for human society.</w:t>
            </w:r>
          </w:p>
        </w:tc>
      </w:tr>
      <w:tr w:rsidR="00EB27AB" w:rsidRPr="00EA0B66" w14:paraId="637719DF" w14:textId="77777777" w:rsidTr="005F2A3D">
        <w:tc>
          <w:tcPr>
            <w:tcW w:w="2411" w:type="dxa"/>
            <w:shd w:val="clear" w:color="auto" w:fill="7F7F7F" w:themeFill="text1" w:themeFillTint="80"/>
            <w:tcMar>
              <w:top w:w="57" w:type="dxa"/>
              <w:bottom w:w="0" w:type="dxa"/>
            </w:tcMar>
          </w:tcPr>
          <w:p w14:paraId="276E0DE5"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Community Infrastructure Levy (CIL)</w:t>
            </w:r>
          </w:p>
        </w:tc>
        <w:tc>
          <w:tcPr>
            <w:tcW w:w="7129" w:type="dxa"/>
            <w:shd w:val="clear" w:color="auto" w:fill="F2F2F2" w:themeFill="background1" w:themeFillShade="F2"/>
            <w:tcMar>
              <w:top w:w="85" w:type="dxa"/>
              <w:bottom w:w="0" w:type="dxa"/>
            </w:tcMar>
          </w:tcPr>
          <w:p w14:paraId="4417E348" w14:textId="77777777" w:rsidR="00EB27AB" w:rsidRPr="00EA0B66" w:rsidRDefault="00EB27AB" w:rsidP="005F2A3D">
            <w:pPr>
              <w:tabs>
                <w:tab w:val="left" w:pos="1890"/>
              </w:tabs>
              <w:autoSpaceDE w:val="0"/>
              <w:autoSpaceDN w:val="0"/>
              <w:adjustRightInd w:val="0"/>
              <w:rPr>
                <w:rFonts w:cstheme="minorHAnsi"/>
                <w:sz w:val="21"/>
                <w:szCs w:val="21"/>
                <w:lang w:eastAsia="en-GB"/>
              </w:rPr>
            </w:pPr>
            <w:r w:rsidRPr="00EA0B66">
              <w:rPr>
                <w:rFonts w:cstheme="minorHAnsi"/>
                <w:sz w:val="21"/>
                <w:szCs w:val="21"/>
              </w:rPr>
              <w:t>CIL is a standard charge on new development which is used to help fund infrastructure provision.</w:t>
            </w:r>
          </w:p>
        </w:tc>
      </w:tr>
      <w:tr w:rsidR="00EB27AB" w:rsidRPr="00EA0B66" w14:paraId="574C47B0" w14:textId="77777777" w:rsidTr="005F2A3D">
        <w:tc>
          <w:tcPr>
            <w:tcW w:w="2411" w:type="dxa"/>
            <w:shd w:val="clear" w:color="auto" w:fill="7F7F7F" w:themeFill="text1" w:themeFillTint="80"/>
            <w:tcMar>
              <w:top w:w="57" w:type="dxa"/>
              <w:bottom w:w="0" w:type="dxa"/>
            </w:tcMar>
          </w:tcPr>
          <w:p w14:paraId="6B285C3F" w14:textId="77777777" w:rsidR="00EB27AB" w:rsidRPr="00EA0B66" w:rsidRDefault="00EB27AB" w:rsidP="005F2A3D">
            <w:pPr>
              <w:tabs>
                <w:tab w:val="center" w:pos="4513"/>
                <w:tab w:val="right" w:pos="9026"/>
              </w:tabs>
              <w:rPr>
                <w:color w:val="FFFFFF"/>
                <w:sz w:val="21"/>
                <w:szCs w:val="21"/>
                <w:highlight w:val="yellow"/>
              </w:rPr>
            </w:pPr>
            <w:r w:rsidRPr="00EA0B66">
              <w:rPr>
                <w:b/>
                <w:bCs/>
                <w:color w:val="FFFFFF"/>
                <w:sz w:val="21"/>
                <w:szCs w:val="21"/>
              </w:rPr>
              <w:t>Core Strategy</w:t>
            </w:r>
          </w:p>
        </w:tc>
        <w:tc>
          <w:tcPr>
            <w:tcW w:w="7129" w:type="dxa"/>
            <w:shd w:val="clear" w:color="auto" w:fill="F2F2F2" w:themeFill="background1" w:themeFillShade="F2"/>
            <w:tcMar>
              <w:top w:w="85" w:type="dxa"/>
              <w:bottom w:w="0" w:type="dxa"/>
            </w:tcMar>
          </w:tcPr>
          <w:p w14:paraId="0667CDBC" w14:textId="77777777" w:rsidR="00EB27AB" w:rsidRPr="00EA0B66" w:rsidRDefault="00EB27AB" w:rsidP="005F2A3D">
            <w:pPr>
              <w:tabs>
                <w:tab w:val="center" w:pos="4513"/>
                <w:tab w:val="right" w:pos="9026"/>
              </w:tabs>
              <w:rPr>
                <w:sz w:val="21"/>
                <w:szCs w:val="21"/>
                <w:highlight w:val="yellow"/>
              </w:rPr>
            </w:pPr>
            <w:r w:rsidRPr="00EA0B66">
              <w:rPr>
                <w:sz w:val="21"/>
                <w:szCs w:val="21"/>
              </w:rPr>
              <w:t>One of the documents in Oxford’s Local Plan. It sets out the long-term spatial vision for the city, with objectives and policies to deliver that vision.</w:t>
            </w:r>
          </w:p>
        </w:tc>
      </w:tr>
      <w:tr w:rsidR="00EB27AB" w:rsidRPr="00EA0B66" w14:paraId="3340393D" w14:textId="77777777" w:rsidTr="005F2A3D">
        <w:tc>
          <w:tcPr>
            <w:tcW w:w="2411" w:type="dxa"/>
            <w:shd w:val="clear" w:color="auto" w:fill="7F7F7F" w:themeFill="text1" w:themeFillTint="80"/>
            <w:tcMar>
              <w:top w:w="57" w:type="dxa"/>
              <w:bottom w:w="0" w:type="dxa"/>
            </w:tcMar>
          </w:tcPr>
          <w:p w14:paraId="24671317"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Duty to Cooperate</w:t>
            </w:r>
          </w:p>
        </w:tc>
        <w:tc>
          <w:tcPr>
            <w:tcW w:w="7129" w:type="dxa"/>
            <w:shd w:val="clear" w:color="auto" w:fill="F2F2F2" w:themeFill="background1" w:themeFillShade="F2"/>
            <w:tcMar>
              <w:top w:w="85" w:type="dxa"/>
              <w:bottom w:w="0" w:type="dxa"/>
            </w:tcMar>
          </w:tcPr>
          <w:p w14:paraId="21541F44" w14:textId="77777777" w:rsidR="00EB27AB" w:rsidRPr="00EA0B66" w:rsidRDefault="00EB27AB" w:rsidP="005F2A3D">
            <w:pPr>
              <w:tabs>
                <w:tab w:val="center" w:pos="4513"/>
                <w:tab w:val="right" w:pos="9026"/>
              </w:tabs>
              <w:rPr>
                <w:sz w:val="21"/>
                <w:szCs w:val="21"/>
              </w:rPr>
            </w:pPr>
            <w:r w:rsidRPr="00EA0B66">
              <w:rPr>
                <w:sz w:val="21"/>
                <w:szCs w:val="21"/>
              </w:rPr>
              <w:t xml:space="preserve">A legal duty that requires local planning authorities to work with neighbouring authorities and key public bodies to maximise the effectiveness of Local Plan preparation in relation to strategic cross boundary matters. </w:t>
            </w:r>
          </w:p>
        </w:tc>
      </w:tr>
      <w:tr w:rsidR="00EB27AB" w:rsidRPr="00EA0B66" w14:paraId="02CB705F" w14:textId="77777777" w:rsidTr="005F2A3D">
        <w:tc>
          <w:tcPr>
            <w:tcW w:w="2411" w:type="dxa"/>
            <w:shd w:val="clear" w:color="auto" w:fill="7F7F7F" w:themeFill="text1" w:themeFillTint="80"/>
            <w:tcMar>
              <w:top w:w="57" w:type="dxa"/>
              <w:bottom w:w="0" w:type="dxa"/>
            </w:tcMar>
          </w:tcPr>
          <w:p w14:paraId="41E0A237"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Dwelling</w:t>
            </w:r>
          </w:p>
        </w:tc>
        <w:tc>
          <w:tcPr>
            <w:tcW w:w="7129" w:type="dxa"/>
            <w:shd w:val="clear" w:color="auto" w:fill="F2F2F2" w:themeFill="background1" w:themeFillShade="F2"/>
            <w:tcMar>
              <w:top w:w="85" w:type="dxa"/>
              <w:bottom w:w="0" w:type="dxa"/>
            </w:tcMar>
          </w:tcPr>
          <w:p w14:paraId="61BBF5A4" w14:textId="77777777" w:rsidR="00EB27AB" w:rsidRPr="00EA0B66" w:rsidRDefault="00EB27AB" w:rsidP="005F2A3D">
            <w:pPr>
              <w:tabs>
                <w:tab w:val="center" w:pos="4513"/>
                <w:tab w:val="right" w:pos="9026"/>
              </w:tabs>
              <w:rPr>
                <w:sz w:val="21"/>
                <w:szCs w:val="21"/>
              </w:rPr>
            </w:pPr>
            <w:r w:rsidRPr="00EA0B66">
              <w:rPr>
                <w:sz w:val="21"/>
                <w:szCs w:val="21"/>
              </w:rPr>
              <w:t>A self-contained unit of residential accommodation occupied by a single person or by people living together as a family, or by not more than six residents living together as a single household, including where care is provided for residents. A self-contained unit of accommodation. All rooms (including</w:t>
            </w:r>
            <w:r>
              <w:rPr>
                <w:sz w:val="21"/>
                <w:szCs w:val="21"/>
              </w:rPr>
              <w:t xml:space="preserve"> </w:t>
            </w:r>
            <w:r w:rsidRPr="00EA0B66">
              <w:rPr>
                <w:sz w:val="21"/>
                <w:szCs w:val="21"/>
              </w:rPr>
              <w:t>kitchen, bathrooms and toilets) are behind a single door which only occupants of that unit of accommodation can use.</w:t>
            </w:r>
          </w:p>
        </w:tc>
      </w:tr>
      <w:tr w:rsidR="00EB27AB" w:rsidRPr="00EA0B66" w14:paraId="2E5B37F7" w14:textId="77777777" w:rsidTr="005F2A3D">
        <w:tc>
          <w:tcPr>
            <w:tcW w:w="2411" w:type="dxa"/>
            <w:shd w:val="clear" w:color="auto" w:fill="7F7F7F" w:themeFill="text1" w:themeFillTint="80"/>
            <w:tcMar>
              <w:top w:w="57" w:type="dxa"/>
              <w:bottom w:w="0" w:type="dxa"/>
            </w:tcMar>
          </w:tcPr>
          <w:p w14:paraId="51A28D2E"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Green Belt</w:t>
            </w:r>
          </w:p>
        </w:tc>
        <w:tc>
          <w:tcPr>
            <w:tcW w:w="7129" w:type="dxa"/>
            <w:shd w:val="clear" w:color="auto" w:fill="F2F2F2" w:themeFill="background1" w:themeFillShade="F2"/>
            <w:tcMar>
              <w:top w:w="85" w:type="dxa"/>
              <w:bottom w:w="0" w:type="dxa"/>
            </w:tcMar>
          </w:tcPr>
          <w:p w14:paraId="640EFF0B" w14:textId="77777777" w:rsidR="00EB27AB" w:rsidRPr="00EA0B66" w:rsidRDefault="00EB27AB" w:rsidP="005F2A3D">
            <w:pPr>
              <w:tabs>
                <w:tab w:val="center" w:pos="4513"/>
                <w:tab w:val="right" w:pos="9026"/>
              </w:tabs>
              <w:rPr>
                <w:sz w:val="21"/>
                <w:szCs w:val="21"/>
              </w:rPr>
            </w:pPr>
            <w:r w:rsidRPr="00EA0B66">
              <w:rPr>
                <w:sz w:val="21"/>
                <w:szCs w:val="21"/>
              </w:rPr>
              <w:t xml:space="preserve">An area of undeveloped land, where the planning policy is to keep it open to (amongst other purposes) prevent urban sprawl and preserve the setting and special character of Oxford and its landscape setting. </w:t>
            </w:r>
          </w:p>
        </w:tc>
      </w:tr>
      <w:tr w:rsidR="00EB27AB" w:rsidRPr="00EA0B66" w14:paraId="519E7309" w14:textId="77777777" w:rsidTr="005F2A3D">
        <w:tc>
          <w:tcPr>
            <w:tcW w:w="2411" w:type="dxa"/>
            <w:shd w:val="clear" w:color="auto" w:fill="7F7F7F" w:themeFill="text1" w:themeFillTint="80"/>
            <w:tcMar>
              <w:top w:w="57" w:type="dxa"/>
              <w:bottom w:w="0" w:type="dxa"/>
            </w:tcMar>
          </w:tcPr>
          <w:p w14:paraId="7C7ED8F1"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Greenfield land</w:t>
            </w:r>
          </w:p>
        </w:tc>
        <w:tc>
          <w:tcPr>
            <w:tcW w:w="7129" w:type="dxa"/>
            <w:shd w:val="clear" w:color="auto" w:fill="F2F2F2" w:themeFill="background1" w:themeFillShade="F2"/>
            <w:tcMar>
              <w:top w:w="85" w:type="dxa"/>
              <w:bottom w:w="0" w:type="dxa"/>
            </w:tcMar>
          </w:tcPr>
          <w:p w14:paraId="29558A11" w14:textId="77777777" w:rsidR="00EB27AB" w:rsidRPr="00EA0B66" w:rsidRDefault="00EB27AB" w:rsidP="005F2A3D">
            <w:pPr>
              <w:tabs>
                <w:tab w:val="center" w:pos="4513"/>
                <w:tab w:val="right" w:pos="9026"/>
              </w:tabs>
              <w:rPr>
                <w:sz w:val="21"/>
                <w:szCs w:val="21"/>
              </w:rPr>
            </w:pPr>
            <w:r w:rsidRPr="00EA0B66">
              <w:rPr>
                <w:sz w:val="21"/>
                <w:szCs w:val="21"/>
              </w:rPr>
              <w:t xml:space="preserve">Formerly defined as land which has not been previously developed. There is no formal definition of greenfield land since the revocation of the Town and </w:t>
            </w:r>
            <w:r w:rsidRPr="00EA0B66">
              <w:rPr>
                <w:sz w:val="21"/>
                <w:szCs w:val="21"/>
              </w:rPr>
              <w:lastRenderedPageBreak/>
              <w:t>Country Planning (Residential Development on Greenfield Land) (England) Direction 2000 in 2007.</w:t>
            </w:r>
          </w:p>
        </w:tc>
      </w:tr>
      <w:tr w:rsidR="00EB27AB" w:rsidRPr="00EA0B66" w14:paraId="785D4AE7" w14:textId="77777777" w:rsidTr="005F2A3D">
        <w:tc>
          <w:tcPr>
            <w:tcW w:w="2411" w:type="dxa"/>
            <w:shd w:val="clear" w:color="auto" w:fill="7F7F7F" w:themeFill="text1" w:themeFillTint="80"/>
            <w:tcMar>
              <w:top w:w="57" w:type="dxa"/>
              <w:bottom w:w="0" w:type="dxa"/>
            </w:tcMar>
          </w:tcPr>
          <w:p w14:paraId="46AFF756"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lastRenderedPageBreak/>
              <w:t>Gross Internal Area (GIA)</w:t>
            </w:r>
          </w:p>
        </w:tc>
        <w:tc>
          <w:tcPr>
            <w:tcW w:w="7129" w:type="dxa"/>
            <w:shd w:val="clear" w:color="auto" w:fill="F2F2F2" w:themeFill="background1" w:themeFillShade="F2"/>
            <w:tcMar>
              <w:top w:w="85" w:type="dxa"/>
              <w:bottom w:w="0" w:type="dxa"/>
            </w:tcMar>
          </w:tcPr>
          <w:p w14:paraId="67B07AA0" w14:textId="77777777" w:rsidR="00EB27AB" w:rsidRPr="00EA0B66" w:rsidRDefault="00EB27AB" w:rsidP="005F2A3D">
            <w:pPr>
              <w:tabs>
                <w:tab w:val="center" w:pos="4513"/>
                <w:tab w:val="right" w:pos="9026"/>
              </w:tabs>
              <w:rPr>
                <w:sz w:val="21"/>
                <w:szCs w:val="21"/>
              </w:rPr>
            </w:pPr>
            <w:r w:rsidRPr="00EA0B66">
              <w:rPr>
                <w:sz w:val="21"/>
                <w:szCs w:val="21"/>
              </w:rPr>
              <w:t>The floor area of a building measured to the internal face of the perimeter walls at each level.</w:t>
            </w:r>
          </w:p>
        </w:tc>
      </w:tr>
      <w:tr w:rsidR="00EB27AB" w:rsidRPr="00EA0B66" w14:paraId="2E364543" w14:textId="77777777" w:rsidTr="005F2A3D">
        <w:tc>
          <w:tcPr>
            <w:tcW w:w="2411" w:type="dxa"/>
            <w:shd w:val="clear" w:color="auto" w:fill="7F7F7F" w:themeFill="text1" w:themeFillTint="80"/>
            <w:tcMar>
              <w:top w:w="57" w:type="dxa"/>
              <w:bottom w:w="0" w:type="dxa"/>
            </w:tcMar>
          </w:tcPr>
          <w:p w14:paraId="2E0F66A5"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Heritage Asset</w:t>
            </w:r>
          </w:p>
        </w:tc>
        <w:tc>
          <w:tcPr>
            <w:tcW w:w="7129" w:type="dxa"/>
            <w:shd w:val="clear" w:color="auto" w:fill="F2F2F2" w:themeFill="background1" w:themeFillShade="F2"/>
            <w:tcMar>
              <w:top w:w="85" w:type="dxa"/>
              <w:bottom w:w="0" w:type="dxa"/>
            </w:tcMar>
          </w:tcPr>
          <w:p w14:paraId="1FE1A2FB" w14:textId="77777777" w:rsidR="00EB27AB" w:rsidRPr="00EA0B66" w:rsidRDefault="00EB27AB" w:rsidP="005F2A3D">
            <w:pPr>
              <w:tabs>
                <w:tab w:val="center" w:pos="4513"/>
                <w:tab w:val="right" w:pos="9026"/>
              </w:tabs>
              <w:rPr>
                <w:sz w:val="21"/>
                <w:szCs w:val="21"/>
              </w:rPr>
            </w:pPr>
            <w:r w:rsidRPr="00EA0B66">
              <w:rPr>
                <w:sz w:val="21"/>
                <w:szCs w:val="21"/>
              </w:rPr>
              <w:t>A building, monument, site, place, area or landscape positively identified as having a degree of significance meriting consideration in planning decisions.  Heritage assets are the valued components of the historic environment.  They include designated heritage assets and assets identified by Oxford City Council during the process of decision-making or through the plan-making process (including local listing).</w:t>
            </w:r>
          </w:p>
        </w:tc>
      </w:tr>
      <w:tr w:rsidR="00EB27AB" w:rsidRPr="00EA0B66" w14:paraId="5861C9AA" w14:textId="77777777" w:rsidTr="005F2A3D">
        <w:tc>
          <w:tcPr>
            <w:tcW w:w="2411" w:type="dxa"/>
            <w:shd w:val="clear" w:color="auto" w:fill="7F7F7F" w:themeFill="text1" w:themeFillTint="80"/>
            <w:tcMar>
              <w:top w:w="57" w:type="dxa"/>
              <w:bottom w:w="0" w:type="dxa"/>
            </w:tcMar>
          </w:tcPr>
          <w:p w14:paraId="730BD927"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Houses in Multiple Occupation (HMOs)</w:t>
            </w:r>
          </w:p>
        </w:tc>
        <w:tc>
          <w:tcPr>
            <w:tcW w:w="7129" w:type="dxa"/>
            <w:shd w:val="clear" w:color="auto" w:fill="F2F2F2" w:themeFill="background1" w:themeFillShade="F2"/>
            <w:tcMar>
              <w:top w:w="85" w:type="dxa"/>
              <w:bottom w:w="0" w:type="dxa"/>
            </w:tcMar>
          </w:tcPr>
          <w:p w14:paraId="2896A7C1" w14:textId="77777777" w:rsidR="00EB27AB" w:rsidRPr="00EA0B66" w:rsidRDefault="00EB27AB" w:rsidP="005F2A3D">
            <w:pPr>
              <w:tabs>
                <w:tab w:val="center" w:pos="4513"/>
                <w:tab w:val="right" w:pos="9026"/>
              </w:tabs>
              <w:rPr>
                <w:rFonts w:cstheme="minorHAnsi"/>
                <w:sz w:val="21"/>
                <w:szCs w:val="21"/>
              </w:rPr>
            </w:pPr>
            <w:r w:rsidRPr="00EA0B66">
              <w:rPr>
                <w:rFonts w:cstheme="minorHAnsi"/>
                <w:sz w:val="21"/>
                <w:szCs w:val="21"/>
              </w:rPr>
              <w:t>A house, flat or building will be a house in multiple occupation (HMO) if it meets the definition under the Housing Act 2004 s254 or s257. A HMO is usually a house or flat that is shared by 3 or more people, who are unrelated, form more than 1 household and is their only main residence. There are 2 types of HMO: C4 HMO, and sui generis HMO. A C4 HMO is a small house or flat that is occupied by</w:t>
            </w:r>
          </w:p>
          <w:p w14:paraId="36AE50E2" w14:textId="77777777" w:rsidR="00EB27AB" w:rsidRPr="00EA0B66" w:rsidRDefault="00EB27AB" w:rsidP="005F2A3D">
            <w:pPr>
              <w:tabs>
                <w:tab w:val="center" w:pos="4513"/>
                <w:tab w:val="right" w:pos="9026"/>
              </w:tabs>
              <w:rPr>
                <w:rFonts w:cstheme="minorHAnsi"/>
                <w:sz w:val="21"/>
                <w:szCs w:val="21"/>
              </w:rPr>
            </w:pPr>
            <w:r w:rsidRPr="00EA0B66">
              <w:rPr>
                <w:rFonts w:cstheme="minorHAnsi"/>
                <w:sz w:val="21"/>
                <w:szCs w:val="21"/>
              </w:rPr>
              <w:t>3-5 unrelated people who share basic amenities such as the bathroom and/or kitchen. A sui Generis HMO is the same as a normal C4 HMO except that it is a large house or flat occupied by 6 or more unrelated people and can be subject to slightly different planning rules.</w:t>
            </w:r>
          </w:p>
        </w:tc>
      </w:tr>
      <w:tr w:rsidR="00EB27AB" w:rsidRPr="00EA0B66" w14:paraId="57C89FF8" w14:textId="77777777" w:rsidTr="005F2A3D">
        <w:tc>
          <w:tcPr>
            <w:tcW w:w="2411" w:type="dxa"/>
            <w:shd w:val="clear" w:color="auto" w:fill="7F7F7F" w:themeFill="text1" w:themeFillTint="80"/>
            <w:tcMar>
              <w:top w:w="57" w:type="dxa"/>
              <w:bottom w:w="0" w:type="dxa"/>
            </w:tcMar>
          </w:tcPr>
          <w:p w14:paraId="3A825740"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rPr>
              <w:t>Housing trajectory</w:t>
            </w:r>
          </w:p>
        </w:tc>
        <w:tc>
          <w:tcPr>
            <w:tcW w:w="7129" w:type="dxa"/>
            <w:shd w:val="clear" w:color="auto" w:fill="F2F2F2" w:themeFill="background1" w:themeFillShade="F2"/>
            <w:tcMar>
              <w:top w:w="85" w:type="dxa"/>
              <w:bottom w:w="0" w:type="dxa"/>
            </w:tcMar>
          </w:tcPr>
          <w:p w14:paraId="3559F995" w14:textId="77777777" w:rsidR="00EB27AB" w:rsidRPr="00EA0B66" w:rsidRDefault="00EB27AB" w:rsidP="005F2A3D">
            <w:pPr>
              <w:tabs>
                <w:tab w:val="center" w:pos="4513"/>
                <w:tab w:val="right" w:pos="9026"/>
              </w:tabs>
              <w:rPr>
                <w:sz w:val="21"/>
                <w:szCs w:val="21"/>
              </w:rPr>
            </w:pPr>
            <w:r w:rsidRPr="00EA0B66">
              <w:rPr>
                <w:sz w:val="21"/>
                <w:szCs w:val="21"/>
              </w:rPr>
              <w:t>A tool that is used to estimate the number of homes likely to be built in the future, usually shown as a graph.</w:t>
            </w:r>
          </w:p>
        </w:tc>
      </w:tr>
      <w:tr w:rsidR="00EB27AB" w:rsidRPr="00EA0B66" w14:paraId="3AE5A255" w14:textId="77777777" w:rsidTr="005F2A3D">
        <w:tc>
          <w:tcPr>
            <w:tcW w:w="2411" w:type="dxa"/>
            <w:shd w:val="clear" w:color="auto" w:fill="7F7F7F" w:themeFill="text1" w:themeFillTint="80"/>
            <w:tcMar>
              <w:top w:w="57" w:type="dxa"/>
              <w:bottom w:w="0" w:type="dxa"/>
            </w:tcMar>
          </w:tcPr>
          <w:p w14:paraId="46ADDAF0" w14:textId="77777777" w:rsidR="00EB27AB" w:rsidRPr="00EA0B66" w:rsidRDefault="00EB27AB" w:rsidP="005F2A3D">
            <w:pPr>
              <w:tabs>
                <w:tab w:val="center" w:pos="4513"/>
                <w:tab w:val="right" w:pos="9026"/>
              </w:tabs>
              <w:rPr>
                <w:b/>
                <w:bCs/>
                <w:color w:val="FFFFFF"/>
                <w:sz w:val="21"/>
                <w:szCs w:val="21"/>
              </w:rPr>
            </w:pPr>
            <w:r>
              <w:rPr>
                <w:b/>
                <w:bCs/>
                <w:color w:val="FFFFFF"/>
                <w:sz w:val="21"/>
                <w:szCs w:val="21"/>
              </w:rPr>
              <w:t>Infrastructure Funding Statement (IFS)</w:t>
            </w:r>
          </w:p>
        </w:tc>
        <w:tc>
          <w:tcPr>
            <w:tcW w:w="7129" w:type="dxa"/>
            <w:shd w:val="clear" w:color="auto" w:fill="F2F2F2" w:themeFill="background1" w:themeFillShade="F2"/>
            <w:tcMar>
              <w:top w:w="85" w:type="dxa"/>
              <w:bottom w:w="0" w:type="dxa"/>
            </w:tcMar>
          </w:tcPr>
          <w:p w14:paraId="16B50DF8" w14:textId="77777777" w:rsidR="00EB27AB" w:rsidRPr="00EA0B66" w:rsidRDefault="00EB27AB" w:rsidP="005F2A3D">
            <w:pPr>
              <w:tabs>
                <w:tab w:val="center" w:pos="4513"/>
                <w:tab w:val="right" w:pos="9026"/>
              </w:tabs>
              <w:rPr>
                <w:sz w:val="21"/>
                <w:szCs w:val="21"/>
              </w:rPr>
            </w:pPr>
            <w:r w:rsidRPr="003201AD">
              <w:rPr>
                <w:sz w:val="21"/>
                <w:szCs w:val="21"/>
              </w:rPr>
              <w:t xml:space="preserve">The Infrastructure Funding Statement (IFS) is </w:t>
            </w:r>
            <w:r>
              <w:rPr>
                <w:sz w:val="21"/>
                <w:szCs w:val="21"/>
              </w:rPr>
              <w:t xml:space="preserve">a new annual reporting </w:t>
            </w:r>
            <w:r w:rsidRPr="003201AD">
              <w:rPr>
                <w:sz w:val="21"/>
                <w:szCs w:val="21"/>
              </w:rPr>
              <w:t>requirement introduced as part of the recently amended CIL regulations in 2019 (CIL Regulations: Schedule 2), with the objective of increasing transparency around how developer contributions are spent on Infrastructure.</w:t>
            </w:r>
          </w:p>
        </w:tc>
      </w:tr>
      <w:tr w:rsidR="00EB27AB" w:rsidRPr="00EA0B66" w14:paraId="526E6C49" w14:textId="77777777" w:rsidTr="005F2A3D">
        <w:tc>
          <w:tcPr>
            <w:tcW w:w="2411" w:type="dxa"/>
            <w:shd w:val="clear" w:color="auto" w:fill="7F7F7F" w:themeFill="text1" w:themeFillTint="80"/>
            <w:tcMar>
              <w:top w:w="57" w:type="dxa"/>
              <w:bottom w:w="0" w:type="dxa"/>
            </w:tcMar>
          </w:tcPr>
          <w:p w14:paraId="16917C69" w14:textId="77777777" w:rsidR="00EB27AB" w:rsidRPr="00EA0B66" w:rsidRDefault="00EB27AB" w:rsidP="005F2A3D">
            <w:pPr>
              <w:tabs>
                <w:tab w:val="center" w:pos="4513"/>
                <w:tab w:val="right" w:pos="9026"/>
              </w:tabs>
              <w:rPr>
                <w:b/>
                <w:bCs/>
                <w:color w:val="FFFFFF"/>
                <w:sz w:val="21"/>
                <w:szCs w:val="21"/>
              </w:rPr>
            </w:pPr>
            <w:r>
              <w:rPr>
                <w:b/>
                <w:bCs/>
                <w:color w:val="FFFFFF"/>
                <w:sz w:val="21"/>
                <w:szCs w:val="21"/>
              </w:rPr>
              <w:t>Local Development Framework (LDF)</w:t>
            </w:r>
          </w:p>
        </w:tc>
        <w:tc>
          <w:tcPr>
            <w:tcW w:w="7129" w:type="dxa"/>
            <w:shd w:val="clear" w:color="auto" w:fill="F2F2F2" w:themeFill="background1" w:themeFillShade="F2"/>
            <w:tcMar>
              <w:top w:w="85" w:type="dxa"/>
              <w:bottom w:w="0" w:type="dxa"/>
            </w:tcMar>
          </w:tcPr>
          <w:p w14:paraId="665E8057" w14:textId="77777777" w:rsidR="00EB27AB" w:rsidRPr="00EA0B66" w:rsidRDefault="00EB27AB" w:rsidP="005F2A3D">
            <w:pPr>
              <w:tabs>
                <w:tab w:val="center" w:pos="4513"/>
                <w:tab w:val="right" w:pos="9026"/>
              </w:tabs>
              <w:rPr>
                <w:sz w:val="21"/>
                <w:szCs w:val="21"/>
              </w:rPr>
            </w:pPr>
            <w:r w:rsidRPr="003201AD">
              <w:rPr>
                <w:sz w:val="21"/>
                <w:szCs w:val="21"/>
              </w:rPr>
              <w:t xml:space="preserve">The Local Development Framework (LDF) is a non-statutory term used to describe a folder of documents, which includes all the local planning authority's local development documents. </w:t>
            </w:r>
            <w:r>
              <w:rPr>
                <w:sz w:val="21"/>
                <w:szCs w:val="21"/>
              </w:rPr>
              <w:t xml:space="preserve">It includes </w:t>
            </w:r>
            <w:r w:rsidRPr="003201AD">
              <w:rPr>
                <w:sz w:val="21"/>
                <w:szCs w:val="21"/>
              </w:rPr>
              <w:t>Development Plan Documents (which form part of the statutory development plan)</w:t>
            </w:r>
            <w:r>
              <w:rPr>
                <w:sz w:val="21"/>
                <w:szCs w:val="21"/>
              </w:rPr>
              <w:t xml:space="preserve"> and </w:t>
            </w:r>
            <w:r w:rsidRPr="003201AD">
              <w:rPr>
                <w:sz w:val="21"/>
                <w:szCs w:val="21"/>
              </w:rPr>
              <w:t>Supplementary Planning Documents</w:t>
            </w:r>
            <w:r>
              <w:rPr>
                <w:sz w:val="21"/>
                <w:szCs w:val="21"/>
              </w:rPr>
              <w:t>.</w:t>
            </w:r>
          </w:p>
        </w:tc>
      </w:tr>
      <w:tr w:rsidR="00EB27AB" w:rsidRPr="00EA0B66" w14:paraId="042934D5" w14:textId="77777777" w:rsidTr="005F2A3D">
        <w:tc>
          <w:tcPr>
            <w:tcW w:w="2411" w:type="dxa"/>
            <w:shd w:val="clear" w:color="auto" w:fill="7F7F7F" w:themeFill="text1" w:themeFillTint="80"/>
            <w:tcMar>
              <w:top w:w="57" w:type="dxa"/>
              <w:bottom w:w="0" w:type="dxa"/>
            </w:tcMar>
          </w:tcPr>
          <w:p w14:paraId="713D0ED3"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lang w:val="en-US"/>
              </w:rPr>
              <w:t>Local Development Scheme (LDS)</w:t>
            </w:r>
          </w:p>
        </w:tc>
        <w:tc>
          <w:tcPr>
            <w:tcW w:w="7129" w:type="dxa"/>
            <w:shd w:val="clear" w:color="auto" w:fill="F2F2F2" w:themeFill="background1" w:themeFillShade="F2"/>
            <w:tcMar>
              <w:top w:w="85" w:type="dxa"/>
              <w:bottom w:w="0" w:type="dxa"/>
            </w:tcMar>
          </w:tcPr>
          <w:p w14:paraId="4E6E9A7B" w14:textId="77777777" w:rsidR="00EB27AB" w:rsidRPr="00EA0B66" w:rsidRDefault="00EB27AB" w:rsidP="005F2A3D">
            <w:pPr>
              <w:tabs>
                <w:tab w:val="center" w:pos="4513"/>
                <w:tab w:val="right" w:pos="9026"/>
              </w:tabs>
              <w:rPr>
                <w:sz w:val="21"/>
                <w:szCs w:val="21"/>
                <w:lang w:val="en-US"/>
              </w:rPr>
            </w:pPr>
            <w:r w:rsidRPr="00EA0B66">
              <w:rPr>
                <w:sz w:val="21"/>
                <w:szCs w:val="21"/>
                <w:lang w:val="en-US"/>
              </w:rPr>
              <w:t>A three year project plan for preparing planning documents and provides the starting point for the local community to find out what the City Council’s current planning policies are for the area. It includes ‘milestones’ to inform the public about opportunities to get involved with the plan making process and to let them know the likely dates for involvement.</w:t>
            </w:r>
          </w:p>
        </w:tc>
      </w:tr>
      <w:tr w:rsidR="00EB27AB" w:rsidRPr="00EA0B66" w14:paraId="2A7E40CF" w14:textId="77777777" w:rsidTr="005F2A3D">
        <w:tc>
          <w:tcPr>
            <w:tcW w:w="2411" w:type="dxa"/>
            <w:shd w:val="clear" w:color="auto" w:fill="7F7F7F" w:themeFill="text1" w:themeFillTint="80"/>
            <w:tcMar>
              <w:top w:w="57" w:type="dxa"/>
              <w:bottom w:w="0" w:type="dxa"/>
            </w:tcMar>
          </w:tcPr>
          <w:p w14:paraId="3BDC822E" w14:textId="77777777" w:rsidR="00EB27AB" w:rsidRPr="00EA0B66" w:rsidRDefault="00EB27AB" w:rsidP="005F2A3D">
            <w:pPr>
              <w:tabs>
                <w:tab w:val="center" w:pos="4513"/>
                <w:tab w:val="right" w:pos="9026"/>
              </w:tabs>
              <w:rPr>
                <w:b/>
                <w:bCs/>
                <w:color w:val="FFFFFF"/>
                <w:sz w:val="21"/>
                <w:szCs w:val="21"/>
              </w:rPr>
            </w:pPr>
            <w:r w:rsidRPr="00EA0B66">
              <w:rPr>
                <w:b/>
                <w:bCs/>
                <w:color w:val="FFFFFF"/>
                <w:sz w:val="21"/>
                <w:szCs w:val="21"/>
                <w:lang w:val="en-US"/>
              </w:rPr>
              <w:t>Local Plan</w:t>
            </w:r>
          </w:p>
        </w:tc>
        <w:tc>
          <w:tcPr>
            <w:tcW w:w="7129" w:type="dxa"/>
            <w:shd w:val="clear" w:color="auto" w:fill="F2F2F2" w:themeFill="background1" w:themeFillShade="F2"/>
            <w:tcMar>
              <w:top w:w="85" w:type="dxa"/>
              <w:bottom w:w="0" w:type="dxa"/>
            </w:tcMar>
          </w:tcPr>
          <w:p w14:paraId="157AFE66" w14:textId="77777777" w:rsidR="00EB27AB" w:rsidRPr="00EA0B66" w:rsidRDefault="00EB27AB" w:rsidP="005F2A3D">
            <w:pPr>
              <w:tabs>
                <w:tab w:val="center" w:pos="4513"/>
                <w:tab w:val="right" w:pos="9026"/>
              </w:tabs>
              <w:rPr>
                <w:sz w:val="21"/>
                <w:szCs w:val="21"/>
                <w:lang w:val="en-US"/>
              </w:rPr>
            </w:pPr>
            <w:r w:rsidRPr="00EA0B66">
              <w:rPr>
                <w:sz w:val="21"/>
                <w:szCs w:val="21"/>
                <w:lang w:val="en-US"/>
              </w:rPr>
              <w:t xml:space="preserve">The plan for the future development of Oxford, produced by the City Council in consultation with the community. In law this is described as the development plan documents adopted under the Planning and Compulsory Purchase Act 2004. Current core strategies or other planning policies, which under the regulations would be considered to be development plan documents, form part of the Local Plan. The term includes old policies which have been saved under </w:t>
            </w:r>
            <w:r w:rsidRPr="00EA0B66">
              <w:rPr>
                <w:sz w:val="21"/>
                <w:szCs w:val="21"/>
                <w:lang w:val="en-US"/>
              </w:rPr>
              <w:lastRenderedPageBreak/>
              <w:t>the 2004 Act.  The documents that make up Oxford’s Local Plan are listed in Appendix A.</w:t>
            </w:r>
          </w:p>
        </w:tc>
      </w:tr>
      <w:tr w:rsidR="00EB27AB" w:rsidRPr="00EA0B66" w14:paraId="38DB9398" w14:textId="77777777" w:rsidTr="005F2A3D">
        <w:tc>
          <w:tcPr>
            <w:tcW w:w="2411" w:type="dxa"/>
            <w:shd w:val="clear" w:color="auto" w:fill="7F7F7F" w:themeFill="text1" w:themeFillTint="80"/>
            <w:tcMar>
              <w:top w:w="57" w:type="dxa"/>
              <w:bottom w:w="0" w:type="dxa"/>
            </w:tcMar>
          </w:tcPr>
          <w:p w14:paraId="4889100D" w14:textId="77777777" w:rsidR="00EB27AB" w:rsidRPr="00EA0B66" w:rsidRDefault="00EB27AB" w:rsidP="005F2A3D">
            <w:pPr>
              <w:tabs>
                <w:tab w:val="center" w:pos="4513"/>
                <w:tab w:val="right" w:pos="9026"/>
              </w:tabs>
              <w:rPr>
                <w:b/>
                <w:bCs/>
                <w:color w:val="FFFFFF"/>
                <w:sz w:val="21"/>
                <w:szCs w:val="21"/>
                <w:lang w:val="en-US"/>
              </w:rPr>
            </w:pPr>
            <w:r w:rsidRPr="00EA0B66">
              <w:rPr>
                <w:b/>
                <w:bCs/>
                <w:color w:val="FFFFFF"/>
                <w:sz w:val="21"/>
                <w:szCs w:val="21"/>
                <w:lang w:val="en-US"/>
              </w:rPr>
              <w:lastRenderedPageBreak/>
              <w:t>National Planning Policy Framework (NPPF)</w:t>
            </w:r>
          </w:p>
        </w:tc>
        <w:tc>
          <w:tcPr>
            <w:tcW w:w="7129" w:type="dxa"/>
            <w:shd w:val="clear" w:color="auto" w:fill="F2F2F2" w:themeFill="background1" w:themeFillShade="F2"/>
            <w:tcMar>
              <w:top w:w="85" w:type="dxa"/>
              <w:bottom w:w="0" w:type="dxa"/>
            </w:tcMar>
          </w:tcPr>
          <w:p w14:paraId="4D39AE2B" w14:textId="77777777" w:rsidR="00EB27AB" w:rsidRPr="00EA0B66" w:rsidRDefault="00EB27AB" w:rsidP="005F2A3D">
            <w:pPr>
              <w:tabs>
                <w:tab w:val="center" w:pos="4513"/>
                <w:tab w:val="right" w:pos="9026"/>
              </w:tabs>
              <w:rPr>
                <w:sz w:val="21"/>
                <w:szCs w:val="21"/>
              </w:rPr>
            </w:pPr>
            <w:r w:rsidRPr="00EA0B66">
              <w:rPr>
                <w:sz w:val="21"/>
                <w:szCs w:val="21"/>
              </w:rPr>
              <w:t>A document setting out the Government’s planning policies for England and how they are expected to be implemented. It was published by the Department for Communities and Local Government (now the Ministry of Housing, Communities and Local Government (MHCLG)) consolidating several previously issued Planning Policy statements and Planning policy guidance notes.</w:t>
            </w:r>
          </w:p>
        </w:tc>
      </w:tr>
      <w:tr w:rsidR="00EB27AB" w:rsidRPr="00EA0B66" w14:paraId="4A00C3F9" w14:textId="77777777" w:rsidTr="005F2A3D">
        <w:tc>
          <w:tcPr>
            <w:tcW w:w="2411" w:type="dxa"/>
            <w:shd w:val="clear" w:color="auto" w:fill="7F7F7F" w:themeFill="text1" w:themeFillTint="80"/>
            <w:tcMar>
              <w:top w:w="57" w:type="dxa"/>
              <w:bottom w:w="0" w:type="dxa"/>
            </w:tcMar>
          </w:tcPr>
          <w:p w14:paraId="5AB9FE3E" w14:textId="77777777" w:rsidR="00EB27AB" w:rsidRPr="00EA0B66" w:rsidRDefault="00EB27AB" w:rsidP="005F2A3D">
            <w:pPr>
              <w:tabs>
                <w:tab w:val="center" w:pos="4513"/>
                <w:tab w:val="right" w:pos="9026"/>
              </w:tabs>
              <w:rPr>
                <w:b/>
                <w:bCs/>
                <w:color w:val="FFFFFF"/>
                <w:sz w:val="21"/>
                <w:szCs w:val="21"/>
                <w:lang w:val="en-US"/>
              </w:rPr>
            </w:pPr>
            <w:r w:rsidRPr="00EA0B66">
              <w:rPr>
                <w:b/>
                <w:bCs/>
                <w:color w:val="FFFFFF"/>
                <w:sz w:val="21"/>
                <w:szCs w:val="21"/>
                <w:lang w:val="en-US"/>
              </w:rPr>
              <w:t>Neighbourhood Plan</w:t>
            </w:r>
          </w:p>
        </w:tc>
        <w:tc>
          <w:tcPr>
            <w:tcW w:w="7129" w:type="dxa"/>
            <w:shd w:val="clear" w:color="auto" w:fill="F2F2F2" w:themeFill="background1" w:themeFillShade="F2"/>
            <w:tcMar>
              <w:top w:w="85" w:type="dxa"/>
              <w:bottom w:w="0" w:type="dxa"/>
            </w:tcMar>
          </w:tcPr>
          <w:p w14:paraId="2C5B6A10" w14:textId="77777777" w:rsidR="00EB27AB" w:rsidRPr="00EA0B66" w:rsidRDefault="00EB27AB" w:rsidP="005F2A3D">
            <w:pPr>
              <w:tabs>
                <w:tab w:val="center" w:pos="4513"/>
                <w:tab w:val="right" w:pos="9026"/>
              </w:tabs>
              <w:rPr>
                <w:sz w:val="21"/>
                <w:szCs w:val="21"/>
              </w:rPr>
            </w:pPr>
            <w:r w:rsidRPr="00EA0B66">
              <w:rPr>
                <w:sz w:val="21"/>
                <w:szCs w:val="21"/>
              </w:rPr>
              <w:t>Plans created by communities that establish a shared vision for their neighbourhood. Neighbourhood Plans can set out where new development should go, what it should look like and the infrastructure that should be provided.</w:t>
            </w:r>
          </w:p>
        </w:tc>
      </w:tr>
      <w:tr w:rsidR="00EB27AB" w:rsidRPr="00EA0B66" w14:paraId="365E3226" w14:textId="77777777" w:rsidTr="005F2A3D">
        <w:tc>
          <w:tcPr>
            <w:tcW w:w="2411" w:type="dxa"/>
            <w:shd w:val="clear" w:color="auto" w:fill="7F7F7F" w:themeFill="text1" w:themeFillTint="80"/>
            <w:tcMar>
              <w:top w:w="57" w:type="dxa"/>
              <w:bottom w:w="0" w:type="dxa"/>
            </w:tcMar>
          </w:tcPr>
          <w:p w14:paraId="1A6B1155" w14:textId="77777777" w:rsidR="00EB27AB" w:rsidRPr="00EA0B66" w:rsidRDefault="00EB27AB" w:rsidP="005F2A3D">
            <w:pPr>
              <w:tabs>
                <w:tab w:val="center" w:pos="4513"/>
                <w:tab w:val="right" w:pos="9026"/>
              </w:tabs>
              <w:rPr>
                <w:b/>
                <w:bCs/>
                <w:color w:val="FFFFFF"/>
                <w:sz w:val="21"/>
                <w:szCs w:val="21"/>
                <w:lang w:val="en-US"/>
              </w:rPr>
            </w:pPr>
            <w:r w:rsidRPr="00EA0B66">
              <w:rPr>
                <w:b/>
                <w:bCs/>
                <w:color w:val="FFFFFF"/>
                <w:sz w:val="21"/>
                <w:szCs w:val="21"/>
                <w:lang w:val="en-US"/>
              </w:rPr>
              <w:t>Natural Resources Impact Analysis (NRIA)</w:t>
            </w:r>
          </w:p>
        </w:tc>
        <w:tc>
          <w:tcPr>
            <w:tcW w:w="7129" w:type="dxa"/>
            <w:shd w:val="clear" w:color="auto" w:fill="F2F2F2" w:themeFill="background1" w:themeFillShade="F2"/>
            <w:tcMar>
              <w:top w:w="85" w:type="dxa"/>
              <w:bottom w:w="0" w:type="dxa"/>
            </w:tcMar>
          </w:tcPr>
          <w:p w14:paraId="1884B69C" w14:textId="77777777" w:rsidR="00EB27AB" w:rsidRPr="00EA0B66" w:rsidRDefault="00EB27AB" w:rsidP="005F2A3D">
            <w:pPr>
              <w:tabs>
                <w:tab w:val="center" w:pos="4513"/>
                <w:tab w:val="right" w:pos="9026"/>
              </w:tabs>
              <w:rPr>
                <w:sz w:val="21"/>
                <w:szCs w:val="21"/>
              </w:rPr>
            </w:pPr>
            <w:r w:rsidRPr="00EA0B66">
              <w:rPr>
                <w:sz w:val="21"/>
                <w:szCs w:val="21"/>
              </w:rPr>
              <w:t>A NRIA should evaluate the use of natural resources and the environmental impacts and benefits arising from a proposed development, both at the construction phase and through the subsequent day-to-day running of the buildings. Where an NRIA is required, it must demonstrate how the building is designed to minimise the use of natural resources over its lifetime.</w:t>
            </w:r>
          </w:p>
        </w:tc>
      </w:tr>
      <w:tr w:rsidR="00EB27AB" w:rsidRPr="00EA0B66" w14:paraId="1A83E658" w14:textId="77777777" w:rsidTr="005F2A3D">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tcMar>
              <w:top w:w="57" w:type="dxa"/>
              <w:bottom w:w="0" w:type="dxa"/>
            </w:tcMar>
          </w:tcPr>
          <w:p w14:paraId="56B6AD7A" w14:textId="77777777" w:rsidR="00EB27AB" w:rsidRPr="00023247" w:rsidRDefault="00EB27AB" w:rsidP="005F2A3D">
            <w:pPr>
              <w:tabs>
                <w:tab w:val="center" w:pos="4513"/>
                <w:tab w:val="right" w:pos="9026"/>
              </w:tabs>
              <w:rPr>
                <w:b/>
                <w:bCs/>
                <w:color w:val="FFFFFF"/>
                <w:sz w:val="21"/>
                <w:szCs w:val="21"/>
                <w:lang w:val="en-US"/>
              </w:rPr>
            </w:pPr>
            <w:r w:rsidRPr="00023247">
              <w:rPr>
                <w:b/>
                <w:bCs/>
                <w:color w:val="FFFFFF"/>
                <w:sz w:val="21"/>
                <w:szCs w:val="21"/>
                <w:lang w:val="en-US"/>
              </w:rPr>
              <w:t>Planning Practice Guidance (PPG)</w:t>
            </w:r>
          </w:p>
        </w:tc>
        <w:tc>
          <w:tcPr>
            <w:tcW w:w="71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85" w:type="dxa"/>
              <w:bottom w:w="0" w:type="dxa"/>
            </w:tcMar>
          </w:tcPr>
          <w:p w14:paraId="3929FAB6" w14:textId="77777777" w:rsidR="00EB27AB" w:rsidRPr="00EA0B66" w:rsidRDefault="00EB27AB" w:rsidP="005F2A3D">
            <w:pPr>
              <w:tabs>
                <w:tab w:val="center" w:pos="4513"/>
                <w:tab w:val="right" w:pos="9026"/>
              </w:tabs>
              <w:rPr>
                <w:sz w:val="21"/>
                <w:szCs w:val="21"/>
              </w:rPr>
            </w:pPr>
            <w:r w:rsidRPr="00EA0B66">
              <w:rPr>
                <w:sz w:val="21"/>
                <w:szCs w:val="21"/>
              </w:rPr>
              <w:t>A web-based resource that brings together national planning practice guidance for England.</w:t>
            </w:r>
          </w:p>
        </w:tc>
      </w:tr>
      <w:tr w:rsidR="00EB27AB" w:rsidRPr="00EA0B66" w14:paraId="5982CDF5" w14:textId="77777777" w:rsidTr="005F2A3D">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tcMar>
              <w:top w:w="57" w:type="dxa"/>
              <w:bottom w:w="0" w:type="dxa"/>
            </w:tcMar>
          </w:tcPr>
          <w:p w14:paraId="512889B8" w14:textId="77777777" w:rsidR="00EB27AB" w:rsidRPr="00023247" w:rsidRDefault="00EB27AB" w:rsidP="005F2A3D">
            <w:pPr>
              <w:tabs>
                <w:tab w:val="center" w:pos="4513"/>
                <w:tab w:val="right" w:pos="9026"/>
              </w:tabs>
              <w:rPr>
                <w:b/>
                <w:bCs/>
                <w:color w:val="FFFFFF"/>
                <w:sz w:val="21"/>
                <w:szCs w:val="21"/>
                <w:lang w:val="en-US"/>
              </w:rPr>
            </w:pPr>
            <w:r w:rsidRPr="00023247">
              <w:rPr>
                <w:b/>
                <w:bCs/>
                <w:color w:val="FFFFFF"/>
                <w:sz w:val="21"/>
                <w:szCs w:val="21"/>
                <w:lang w:val="en-US"/>
              </w:rPr>
              <w:t>Previously Developed Land (PDL)</w:t>
            </w:r>
          </w:p>
        </w:tc>
        <w:tc>
          <w:tcPr>
            <w:tcW w:w="71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85" w:type="dxa"/>
              <w:bottom w:w="0" w:type="dxa"/>
            </w:tcMar>
          </w:tcPr>
          <w:p w14:paraId="1B384A30" w14:textId="77777777" w:rsidR="00EB27AB" w:rsidRPr="00EA0B66" w:rsidRDefault="00EB27AB" w:rsidP="005F2A3D">
            <w:pPr>
              <w:tabs>
                <w:tab w:val="center" w:pos="4513"/>
                <w:tab w:val="right" w:pos="9026"/>
              </w:tabs>
              <w:rPr>
                <w:sz w:val="21"/>
                <w:szCs w:val="21"/>
              </w:rPr>
            </w:pPr>
            <w:r w:rsidRPr="00EA0B66">
              <w:rPr>
                <w:sz w:val="21"/>
                <w:szCs w:val="21"/>
              </w:rPr>
              <w:t>Land which is or was occupied by a permanent structure (excluding agricultural or forestry buildings). The definition covers the curtilage of the developed land. Private residential gardens are not defined as previously developed land.</w:t>
            </w:r>
          </w:p>
        </w:tc>
      </w:tr>
      <w:tr w:rsidR="00EB27AB" w:rsidRPr="00EA0B66" w14:paraId="6205613B" w14:textId="77777777" w:rsidTr="005F2A3D">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tcMar>
              <w:top w:w="57" w:type="dxa"/>
              <w:bottom w:w="0" w:type="dxa"/>
            </w:tcMar>
          </w:tcPr>
          <w:p w14:paraId="0A240487" w14:textId="77777777" w:rsidR="00EB27AB" w:rsidRPr="00EA0B66" w:rsidRDefault="00EB27AB" w:rsidP="005F2A3D">
            <w:pPr>
              <w:tabs>
                <w:tab w:val="center" w:pos="4513"/>
                <w:tab w:val="right" w:pos="9026"/>
              </w:tabs>
              <w:rPr>
                <w:b/>
                <w:bCs/>
                <w:color w:val="FFFFFF"/>
                <w:sz w:val="21"/>
                <w:szCs w:val="21"/>
                <w:lang w:val="en-US"/>
              </w:rPr>
            </w:pPr>
            <w:r w:rsidRPr="00EA0B66">
              <w:rPr>
                <w:b/>
                <w:bCs/>
                <w:color w:val="FFFFFF"/>
                <w:sz w:val="21"/>
                <w:szCs w:val="21"/>
                <w:lang w:val="en-US"/>
              </w:rPr>
              <w:t>Sites of Local Importance for Nature Conservation (SLINC)</w:t>
            </w:r>
          </w:p>
        </w:tc>
        <w:tc>
          <w:tcPr>
            <w:tcW w:w="71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85" w:type="dxa"/>
              <w:bottom w:w="0" w:type="dxa"/>
            </w:tcMar>
          </w:tcPr>
          <w:p w14:paraId="22CE5E53" w14:textId="77777777" w:rsidR="00EB27AB" w:rsidRPr="00023247" w:rsidRDefault="00EB27AB" w:rsidP="005F2A3D">
            <w:pPr>
              <w:tabs>
                <w:tab w:val="center" w:pos="4513"/>
                <w:tab w:val="right" w:pos="9026"/>
              </w:tabs>
              <w:rPr>
                <w:sz w:val="21"/>
                <w:szCs w:val="21"/>
              </w:rPr>
            </w:pPr>
            <w:r w:rsidRPr="00023247">
              <w:rPr>
                <w:sz w:val="21"/>
                <w:szCs w:val="21"/>
              </w:rPr>
              <w:t>A site containing important habitats, plants and animals in the context of Oxford.</w:t>
            </w:r>
          </w:p>
        </w:tc>
      </w:tr>
      <w:tr w:rsidR="00EB27AB" w:rsidRPr="00EA0B66" w14:paraId="2C67239E" w14:textId="77777777" w:rsidTr="005F2A3D">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tcMar>
              <w:top w:w="57" w:type="dxa"/>
              <w:bottom w:w="0" w:type="dxa"/>
            </w:tcMar>
          </w:tcPr>
          <w:p w14:paraId="036FEE6D" w14:textId="77777777" w:rsidR="00EB27AB" w:rsidRPr="00EA0B66" w:rsidRDefault="00EB27AB" w:rsidP="005F2A3D">
            <w:pPr>
              <w:tabs>
                <w:tab w:val="center" w:pos="4513"/>
                <w:tab w:val="right" w:pos="9026"/>
              </w:tabs>
              <w:rPr>
                <w:b/>
                <w:bCs/>
                <w:color w:val="FFFFFF"/>
                <w:sz w:val="21"/>
                <w:szCs w:val="21"/>
                <w:lang w:val="en-US"/>
              </w:rPr>
            </w:pPr>
            <w:r w:rsidRPr="00EA0B66">
              <w:rPr>
                <w:b/>
                <w:bCs/>
                <w:color w:val="FFFFFF"/>
                <w:sz w:val="21"/>
                <w:szCs w:val="21"/>
                <w:lang w:val="en-US"/>
              </w:rPr>
              <w:t>Sites of Special Scientific Interest (SSSI)</w:t>
            </w:r>
          </w:p>
        </w:tc>
        <w:tc>
          <w:tcPr>
            <w:tcW w:w="71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85" w:type="dxa"/>
              <w:bottom w:w="0" w:type="dxa"/>
            </w:tcMar>
          </w:tcPr>
          <w:p w14:paraId="781A84D7" w14:textId="77777777" w:rsidR="00EB27AB" w:rsidRPr="00023247" w:rsidRDefault="00EB27AB" w:rsidP="005F2A3D">
            <w:pPr>
              <w:tabs>
                <w:tab w:val="center" w:pos="4513"/>
                <w:tab w:val="right" w:pos="9026"/>
              </w:tabs>
              <w:rPr>
                <w:sz w:val="21"/>
                <w:szCs w:val="21"/>
              </w:rPr>
            </w:pPr>
            <w:r w:rsidRPr="00023247">
              <w:rPr>
                <w:sz w:val="21"/>
                <w:szCs w:val="21"/>
              </w:rPr>
              <w:t xml:space="preserve">Areas identified by Natural England as being of special interest for their ecological or geological features. Natural England is the government’s advisor on the natural environment. </w:t>
            </w:r>
          </w:p>
        </w:tc>
      </w:tr>
      <w:tr w:rsidR="00EB27AB" w:rsidRPr="00EA0B66" w14:paraId="779DE383" w14:textId="77777777" w:rsidTr="005F2A3D">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tcMar>
              <w:top w:w="57" w:type="dxa"/>
              <w:bottom w:w="0" w:type="dxa"/>
            </w:tcMar>
          </w:tcPr>
          <w:p w14:paraId="0BCE3374" w14:textId="77777777" w:rsidR="00EB27AB" w:rsidRPr="00EA0B66" w:rsidRDefault="00EB27AB" w:rsidP="005F2A3D">
            <w:pPr>
              <w:tabs>
                <w:tab w:val="center" w:pos="4513"/>
                <w:tab w:val="right" w:pos="9026"/>
              </w:tabs>
              <w:rPr>
                <w:b/>
                <w:bCs/>
                <w:color w:val="FFFFFF"/>
                <w:sz w:val="21"/>
                <w:szCs w:val="21"/>
                <w:lang w:val="en-US"/>
              </w:rPr>
            </w:pPr>
            <w:r w:rsidRPr="00EA0B66">
              <w:rPr>
                <w:b/>
                <w:bCs/>
                <w:color w:val="FFFFFF"/>
                <w:sz w:val="21"/>
                <w:szCs w:val="21"/>
                <w:lang w:val="en-US"/>
              </w:rPr>
              <w:t>Special Areas of Conservation (SACs)</w:t>
            </w:r>
          </w:p>
        </w:tc>
        <w:tc>
          <w:tcPr>
            <w:tcW w:w="71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85" w:type="dxa"/>
              <w:bottom w:w="0" w:type="dxa"/>
            </w:tcMar>
          </w:tcPr>
          <w:p w14:paraId="00988E76" w14:textId="77777777" w:rsidR="00EB27AB" w:rsidRPr="00023247" w:rsidRDefault="00EB27AB" w:rsidP="005F2A3D">
            <w:pPr>
              <w:tabs>
                <w:tab w:val="center" w:pos="4513"/>
                <w:tab w:val="right" w:pos="9026"/>
              </w:tabs>
              <w:rPr>
                <w:sz w:val="21"/>
                <w:szCs w:val="21"/>
              </w:rPr>
            </w:pPr>
            <w:r w:rsidRPr="00023247">
              <w:rPr>
                <w:sz w:val="21"/>
                <w:szCs w:val="21"/>
              </w:rPr>
              <w:t>Special Areas of Conservation are areas that have been designated at a European level as important for nature conservation.</w:t>
            </w:r>
          </w:p>
        </w:tc>
      </w:tr>
      <w:tr w:rsidR="00EB27AB" w:rsidRPr="00EA0B66" w14:paraId="53AB691C" w14:textId="77777777" w:rsidTr="005F2A3D">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tcMar>
              <w:top w:w="57" w:type="dxa"/>
              <w:bottom w:w="0" w:type="dxa"/>
            </w:tcMar>
          </w:tcPr>
          <w:p w14:paraId="7F2DFD97" w14:textId="77777777" w:rsidR="00EB27AB" w:rsidRPr="00023247" w:rsidRDefault="00EB27AB" w:rsidP="005F2A3D">
            <w:pPr>
              <w:tabs>
                <w:tab w:val="center" w:pos="4513"/>
                <w:tab w:val="right" w:pos="9026"/>
              </w:tabs>
              <w:rPr>
                <w:b/>
                <w:bCs/>
                <w:color w:val="FFFFFF"/>
                <w:sz w:val="21"/>
                <w:szCs w:val="21"/>
                <w:lang w:val="en-US"/>
              </w:rPr>
            </w:pPr>
            <w:r w:rsidRPr="00EA0B66">
              <w:rPr>
                <w:b/>
                <w:bCs/>
                <w:color w:val="FFFFFF"/>
                <w:sz w:val="21"/>
                <w:szCs w:val="21"/>
                <w:lang w:val="en-US"/>
              </w:rPr>
              <w:t>Supplementary Planning Documents (SPD)</w:t>
            </w:r>
          </w:p>
        </w:tc>
        <w:tc>
          <w:tcPr>
            <w:tcW w:w="71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85" w:type="dxa"/>
              <w:bottom w:w="0" w:type="dxa"/>
            </w:tcMar>
          </w:tcPr>
          <w:p w14:paraId="22668FE8" w14:textId="77777777" w:rsidR="00EB27AB" w:rsidRPr="00023247" w:rsidRDefault="00EB27AB" w:rsidP="005F2A3D">
            <w:pPr>
              <w:tabs>
                <w:tab w:val="center" w:pos="4513"/>
                <w:tab w:val="right" w:pos="9026"/>
              </w:tabs>
              <w:rPr>
                <w:sz w:val="21"/>
                <w:szCs w:val="21"/>
              </w:rPr>
            </w:pPr>
            <w:r w:rsidRPr="00023247">
              <w:rPr>
                <w:sz w:val="21"/>
                <w:szCs w:val="21"/>
              </w:rPr>
              <w:t>Part of the LDF that supplements and elaborates on policies and proposals in Development Plan Documents. Supplementary Planning Documents do not form part of the statutory development plan</w:t>
            </w:r>
          </w:p>
        </w:tc>
      </w:tr>
      <w:tr w:rsidR="00EB27AB" w:rsidRPr="00EA0B66" w14:paraId="3144FD01" w14:textId="77777777" w:rsidTr="005F2A3D">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tcMar>
              <w:top w:w="57" w:type="dxa"/>
              <w:bottom w:w="0" w:type="dxa"/>
            </w:tcMar>
          </w:tcPr>
          <w:p w14:paraId="71EC28FE" w14:textId="77777777" w:rsidR="00EB27AB" w:rsidRPr="00EA0B66" w:rsidRDefault="00EB27AB" w:rsidP="005F2A3D">
            <w:pPr>
              <w:tabs>
                <w:tab w:val="center" w:pos="4513"/>
                <w:tab w:val="right" w:pos="9026"/>
              </w:tabs>
              <w:rPr>
                <w:b/>
                <w:bCs/>
                <w:color w:val="FFFFFF"/>
                <w:sz w:val="21"/>
                <w:szCs w:val="21"/>
                <w:lang w:val="en-US"/>
              </w:rPr>
            </w:pPr>
            <w:r w:rsidRPr="00EA0B66">
              <w:rPr>
                <w:b/>
                <w:bCs/>
                <w:color w:val="FFFFFF"/>
                <w:sz w:val="21"/>
                <w:szCs w:val="21"/>
                <w:lang w:val="en-US"/>
              </w:rPr>
              <w:t>Sustainability Appraisal (SA)</w:t>
            </w:r>
          </w:p>
        </w:tc>
        <w:tc>
          <w:tcPr>
            <w:tcW w:w="71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85" w:type="dxa"/>
              <w:bottom w:w="0" w:type="dxa"/>
            </w:tcMar>
          </w:tcPr>
          <w:p w14:paraId="0BED7F9A" w14:textId="77777777" w:rsidR="00EB27AB" w:rsidRPr="00023247" w:rsidRDefault="00EB27AB" w:rsidP="005F2A3D">
            <w:pPr>
              <w:tabs>
                <w:tab w:val="center" w:pos="4513"/>
                <w:tab w:val="right" w:pos="9026"/>
              </w:tabs>
              <w:rPr>
                <w:sz w:val="21"/>
                <w:szCs w:val="21"/>
              </w:rPr>
            </w:pPr>
            <w:r w:rsidRPr="00023247">
              <w:rPr>
                <w:sz w:val="21"/>
                <w:szCs w:val="21"/>
              </w:rPr>
              <w:t>A social, economic and environmental appraisal of strategy, policies and proposals - required for development plan documents and sometimes Supplementary Planning Documents.</w:t>
            </w:r>
          </w:p>
        </w:tc>
      </w:tr>
      <w:tr w:rsidR="00EB27AB" w:rsidRPr="00EA0B66" w14:paraId="1C9BE200" w14:textId="77777777" w:rsidTr="005F2A3D">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tcMar>
              <w:top w:w="57" w:type="dxa"/>
              <w:bottom w:w="0" w:type="dxa"/>
            </w:tcMar>
          </w:tcPr>
          <w:p w14:paraId="3EAAE2D5" w14:textId="77777777" w:rsidR="00EB27AB" w:rsidRPr="00EA0B66" w:rsidRDefault="00EB27AB" w:rsidP="005F2A3D">
            <w:pPr>
              <w:tabs>
                <w:tab w:val="center" w:pos="4513"/>
                <w:tab w:val="right" w:pos="9026"/>
              </w:tabs>
              <w:rPr>
                <w:b/>
                <w:bCs/>
                <w:color w:val="FFFFFF"/>
                <w:sz w:val="21"/>
                <w:szCs w:val="21"/>
                <w:lang w:val="en-US"/>
              </w:rPr>
            </w:pPr>
            <w:r w:rsidRPr="00EA0B66">
              <w:rPr>
                <w:b/>
                <w:bCs/>
                <w:color w:val="FFFFFF"/>
                <w:sz w:val="21"/>
                <w:szCs w:val="21"/>
                <w:lang w:val="en-US"/>
              </w:rPr>
              <w:t>Tree Preservation Order (TPO)</w:t>
            </w:r>
          </w:p>
        </w:tc>
        <w:tc>
          <w:tcPr>
            <w:tcW w:w="71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85" w:type="dxa"/>
              <w:bottom w:w="0" w:type="dxa"/>
            </w:tcMar>
          </w:tcPr>
          <w:p w14:paraId="3CCCEC8E" w14:textId="77777777" w:rsidR="00EB27AB" w:rsidRPr="00023247" w:rsidRDefault="00EB27AB" w:rsidP="005F2A3D">
            <w:pPr>
              <w:tabs>
                <w:tab w:val="center" w:pos="4513"/>
                <w:tab w:val="right" w:pos="9026"/>
              </w:tabs>
              <w:rPr>
                <w:sz w:val="21"/>
                <w:szCs w:val="21"/>
              </w:rPr>
            </w:pPr>
            <w:r w:rsidRPr="00023247">
              <w:rPr>
                <w:sz w:val="21"/>
                <w:szCs w:val="21"/>
              </w:rPr>
              <w:t xml:space="preserve">A legal order made by the local planning authority, that prohibits the cutting down, uprooting, topping, lopping, </w:t>
            </w:r>
            <w:proofErr w:type="spellStart"/>
            <w:r w:rsidRPr="00023247">
              <w:rPr>
                <w:sz w:val="21"/>
                <w:szCs w:val="21"/>
              </w:rPr>
              <w:t>willful</w:t>
            </w:r>
            <w:proofErr w:type="spellEnd"/>
            <w:r w:rsidRPr="00023247">
              <w:rPr>
                <w:sz w:val="21"/>
                <w:szCs w:val="21"/>
              </w:rPr>
              <w:t xml:space="preserve"> damage or </w:t>
            </w:r>
            <w:proofErr w:type="spellStart"/>
            <w:r w:rsidRPr="00023247">
              <w:rPr>
                <w:sz w:val="21"/>
                <w:szCs w:val="21"/>
              </w:rPr>
              <w:t>willful</w:t>
            </w:r>
            <w:proofErr w:type="spellEnd"/>
            <w:r w:rsidRPr="00023247">
              <w:rPr>
                <w:sz w:val="21"/>
                <w:szCs w:val="21"/>
              </w:rPr>
              <w:t xml:space="preserve"> destruction of a tree or group of trees without the express permission of that authority.</w:t>
            </w:r>
          </w:p>
        </w:tc>
      </w:tr>
    </w:tbl>
    <w:p w14:paraId="5A40A622" w14:textId="377B66C5" w:rsidR="0042269C" w:rsidRDefault="0042269C" w:rsidP="007775A0">
      <w:pPr>
        <w:rPr>
          <w:b/>
        </w:rPr>
      </w:pPr>
    </w:p>
    <w:p w14:paraId="142275F3" w14:textId="27966F63" w:rsidR="0042269C" w:rsidRDefault="0042269C">
      <w:pPr>
        <w:rPr>
          <w:b/>
        </w:rPr>
      </w:pPr>
    </w:p>
    <w:p w14:paraId="4E2D35F2" w14:textId="6A97FC4F" w:rsidR="00EB27AB" w:rsidRPr="00F54E6A" w:rsidRDefault="00F75A5C" w:rsidP="007775A0">
      <w:pPr>
        <w:rPr>
          <w:b/>
        </w:rPr>
      </w:pPr>
      <w:r>
        <w:rPr>
          <w:b/>
          <w:noProof/>
        </w:rPr>
        <w:object w:dxaOrig="1440" w:dyaOrig="1440" w14:anchorId="1D00D041">
          <v:shape id="_x0000_s1027" type="#_x0000_t75" style="position:absolute;margin-left:-53.35pt;margin-top:-48.55pt;width:554pt;height:783.35pt;z-index:251660288;mso-position-horizontal-relative:text;mso-position-vertical-relative:text">
            <v:imagedata r:id="rId52" o:title=""/>
          </v:shape>
          <o:OLEObject Type="Embed" ProgID="Word.Document.12" ShapeID="_x0000_s1027" DrawAspect="Content" ObjectID="_1698748617" r:id="rId53">
            <o:FieldCodes>\s</o:FieldCodes>
          </o:OLEObject>
        </w:object>
      </w:r>
    </w:p>
    <w:sectPr w:rsidR="00EB27AB" w:rsidRPr="00F54E6A">
      <w:headerReference w:type="default" r:id="rId54"/>
      <w:footerReference w:type="default" r:id="rId55"/>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AE1A740" w16cex:dateUtc="2021-11-03T09:52:00Z"/>
  <w16cex:commentExtensible w16cex:durableId="7554668E" w16cex:dateUtc="2021-11-03T15:37:00Z"/>
  <w16cex:commentExtensible w16cex:durableId="3F12ADF0" w16cex:dateUtc="2021-11-02T10:19:00Z"/>
  <w16cex:commentExtensible w16cex:durableId="43D26BCA" w16cex:dateUtc="2021-11-06T16:08:44.372Z"/>
  <w16cex:commentExtensible w16cex:durableId="07912E0F" w16cex:dateUtc="2021-11-06T15:59:16.498Z"/>
  <w16cex:commentExtensible w16cex:durableId="05CAF4A3" w16cex:dateUtc="2021-11-01T20:12:00Z"/>
  <w16cex:commentExtensible w16cex:durableId="2C5FDA26" w16cex:dateUtc="2021-11-02T12:05:00Z"/>
  <w16cex:commentExtensible w16cex:durableId="2A520B64" w16cex:dateUtc="2021-11-02T11:57:00Z"/>
  <w16cex:commentExtensible w16cex:durableId="7330050D" w16cex:dateUtc="2021-11-02T17:28:00Z"/>
  <w16cex:commentExtensible w16cex:durableId="2E9B1917" w16cex:dateUtc="2021-11-03T09:32:00Z"/>
  <w16cex:commentExtensible w16cex:durableId="61F01DA3" w16cex:dateUtc="2021-11-03T14:50:00Z"/>
  <w16cex:commentExtensible w16cex:durableId="40B66258" w16cex:dateUtc="2021-11-02T10:41:00Z"/>
  <w16cex:commentExtensible w16cex:durableId="71D73720" w16cex:dateUtc="2021-11-02T17:41:00Z"/>
  <w16cex:commentExtensible w16cex:durableId="77662B2D" w16cex:dateUtc="2021-11-03T09:34:00Z"/>
  <w16cex:commentExtensible w16cex:durableId="136B1ADA" w16cex:dateUtc="2021-11-03T14:54:00Z"/>
  <w16cex:commentExtensible w16cex:durableId="7C41A5E4" w16cex:dateUtc="2021-11-02T12:05:00Z"/>
  <w16cex:commentExtensible w16cex:durableId="5AB9C9A5" w16cex:dateUtc="2021-11-08T13:04:26.661Z"/>
  <w16cex:commentExtensible w16cex:durableId="56EA6FCD" w16cex:dateUtc="2021-11-08T12:08:48.758Z"/>
  <w16cex:commentExtensible w16cex:durableId="1398CB17" w16cex:dateUtc="2021-11-08T12:06:15.517Z"/>
  <w16cex:commentExtensible w16cex:durableId="49BD9FCC" w16cex:dateUtc="2021-11-08T12:05:37.819Z"/>
  <w16cex:commentExtensible w16cex:durableId="6611B3DA" w16cex:dateUtc="2021-11-08T11:50:01.2Z"/>
  <w16cex:commentExtensible w16cex:durableId="443BD32F" w16cex:dateUtc="2021-10-21T23:19:00Z"/>
  <w16cex:commentExtensible w16cex:durableId="19D92A80" w16cex:dateUtc="2021-11-02T14:03:00Z"/>
  <w16cex:commentExtensible w16cex:durableId="0302F0A3" w16cex:dateUtc="2021-11-04T17:34:00Z"/>
  <w16cex:commentExtensible w16cex:durableId="24941C8D" w16cex:dateUtc="2021-11-04T12:09:00Z"/>
  <w16cex:commentExtensible w16cex:durableId="641C72FF" w16cex:dateUtc="2021-11-04T12:40:00Z"/>
  <w16cex:commentExtensible w16cex:durableId="0C657794" w16cex:dateUtc="2021-11-04T12:20:00Z"/>
  <w16cex:commentExtensible w16cex:durableId="57BA9238" w16cex:dateUtc="2021-11-04T12:40:00Z"/>
  <w16cex:commentExtensible w16cex:durableId="4EF8D00F" w16cex:dateUtc="2021-11-04T12:19:00Z"/>
  <w16cex:commentExtensible w16cex:durableId="33430A55" w16cex:dateUtc="2021-11-04T12:49:00Z"/>
  <w16cex:commentExtensible w16cex:durableId="47547419" w16cex:dateUtc="2021-10-21T23:19:00Z"/>
  <w16cex:commentExtensible w16cex:durableId="6B96D6C5" w16cex:dateUtc="2021-11-02T14:42:00Z"/>
  <w16cex:commentExtensible w16cex:durableId="4322C0DC" w16cex:dateUtc="2021-11-04T13:47:00Z"/>
  <w16cex:commentExtensible w16cex:durableId="350CC5C5" w16cex:dateUtc="2021-11-02T14:48:00Z"/>
  <w16cex:commentExtensible w16cex:durableId="08F1D775" w16cex:dateUtc="2021-10-27T23:27:00Z"/>
  <w16cex:commentExtensible w16cex:durableId="263917A8" w16cex:dateUtc="2021-10-28T18:35:00Z"/>
  <w16cex:commentExtensible w16cex:durableId="261F69B3" w16cex:dateUtc="2021-11-04T13:56:00Z"/>
  <w16cex:commentExtensible w16cex:durableId="10489FFD" w16cex:dateUtc="2021-11-04T13:57:00Z"/>
  <w16cex:commentExtensible w16cex:durableId="78C5D6D2" w16cex:dateUtc="2021-11-04T13:59:00Z"/>
  <w16cex:commentExtensible w16cex:durableId="1EE828DF" w16cex:dateUtc="2021-11-04T14:01:00Z"/>
  <w16cex:commentExtensible w16cex:durableId="733E83FA" w16cex:dateUtc="2021-11-04T14:10:00Z"/>
  <w16cex:commentExtensible w16cex:durableId="6F96063B" w16cex:dateUtc="2021-11-04T14:09:00Z"/>
  <w16cex:commentExtensible w16cex:durableId="67E108DB" w16cex:dateUtc="2021-11-05T13:32:00Z"/>
  <w16cex:commentExtensible w16cex:durableId="754D8CE4" w16cex:dateUtc="2021-11-04T14:10:00Z"/>
  <w16cex:commentExtensible w16cex:durableId="6B80A69B" w16cex:dateUtc="2021-11-04T14:12:00Z"/>
  <w16cex:commentExtensible w16cex:durableId="693F930C" w16cex:dateUtc="2021-11-04T14:17:00Z"/>
  <w16cex:commentExtensible w16cex:durableId="349E6653" w16cex:dateUtc="2021-11-05T09:09:00Z"/>
  <w16cex:commentExtensible w16cex:durableId="5B5294BD" w16cex:dateUtc="2021-11-04T14:23:00Z"/>
  <w16cex:commentExtensible w16cex:durableId="2851E983" w16cex:dateUtc="2021-11-05T16:47:00Z"/>
  <w16cex:commentExtensible w16cex:durableId="787A352A" w16cex:dateUtc="2021-11-05T09:10:00Z"/>
  <w16cex:commentExtensible w16cex:durableId="3F3CA949" w16cex:dateUtc="2021-11-05T09:11:00Z"/>
  <w16cex:commentExtensible w16cex:durableId="2E8BD028" w16cex:dateUtc="2021-11-05T09:12:00Z"/>
  <w16cex:commentExtensible w16cex:durableId="4EEFFE2B" w16cex:dateUtc="2021-11-05T09:16:00Z"/>
  <w16cex:commentExtensible w16cex:durableId="5DD0AFF2" w16cex:dateUtc="2021-11-05T13:30:00Z"/>
  <w16cex:commentExtensible w16cex:durableId="2BC7E454" w16cex:dateUtc="2021-11-05T09:14:00Z"/>
  <w16cex:commentExtensible w16cex:durableId="2B2D546A" w16cex:dateUtc="2021-11-05T09:20:00Z"/>
  <w16cex:commentExtensible w16cex:durableId="4A4BFAB5" w16cex:dateUtc="2021-11-05T09:22:00Z"/>
  <w16cex:commentExtensible w16cex:durableId="60EA93A7" w16cex:dateUtc="2021-11-05T11:25:00Z"/>
  <w16cex:commentExtensible w16cex:durableId="53F8A6D5" w16cex:dateUtc="2021-11-05T12:12:00Z"/>
  <w16cex:commentExtensible w16cex:durableId="00466CBB" w16cex:dateUtc="2021-11-05T12:22:00Z"/>
  <w16cex:commentExtensible w16cex:durableId="5F95A45D" w16cex:dateUtc="2021-11-05T12:22:00Z"/>
  <w16cex:commentExtensible w16cex:durableId="3CDBFF61" w16cex:dateUtc="2021-10-29T23:27:00Z"/>
  <w16cex:commentExtensible w16cex:durableId="369603DF" w16cex:dateUtc="2021-11-02T16:12:00Z"/>
  <w16cex:commentExtensible w16cex:durableId="14E5A415" w16cex:dateUtc="2021-11-04T17:35:00Z"/>
</w16cex:commentsExtensible>
</file>

<file path=word/commentsIds.xml><?xml version="1.0" encoding="utf-8"?>
<w16cid:commentsIds xmlns:mc="http://schemas.openxmlformats.org/markup-compatibility/2006" xmlns:w16cid="http://schemas.microsoft.com/office/word/2016/wordml/cid" mc:Ignorable="w16cid">
  <w16cid:commentId w16cid:paraId="66C9F66B" w16cid:durableId="0AE1A740"/>
  <w16cid:commentId w16cid:paraId="33A5FA39" w16cid:durableId="7554668E"/>
  <w16cid:commentId w16cid:paraId="66B789E0" w16cid:durableId="3F12ADF0"/>
  <w16cid:commentId w16cid:paraId="5682FDC9" w16cid:durableId="05CAF4A3"/>
  <w16cid:commentId w16cid:paraId="6868A84C" w16cid:durableId="2C5FDA26"/>
  <w16cid:commentId w16cid:paraId="1FC363FD" w16cid:durableId="2A520B64"/>
  <w16cid:commentId w16cid:paraId="2EB6FA11" w16cid:durableId="7330050D"/>
  <w16cid:commentId w16cid:paraId="2EF8EE5E" w16cid:durableId="2E9B1917"/>
  <w16cid:commentId w16cid:paraId="30E7ADA5" w16cid:durableId="61F01DA3"/>
  <w16cid:commentId w16cid:paraId="16768796" w16cid:durableId="40B66258"/>
  <w16cid:commentId w16cid:paraId="21D07494" w16cid:durableId="71D73720"/>
  <w16cid:commentId w16cid:paraId="40B66833" w16cid:durableId="77662B2D"/>
  <w16cid:commentId w16cid:paraId="09989533" w16cid:durableId="136B1ADA"/>
  <w16cid:commentId w16cid:paraId="735814B5" w16cid:durableId="7C41A5E4"/>
  <w16cid:commentId w16cid:paraId="41018F43" w16cid:durableId="443BD32F"/>
  <w16cid:commentId w16cid:paraId="4BAD271A" w16cid:durableId="19D92A80"/>
  <w16cid:commentId w16cid:paraId="6D9E0077" w16cid:durableId="0302F0A3"/>
  <w16cid:commentId w16cid:paraId="130FBA1D" w16cid:durableId="24941C8D"/>
  <w16cid:commentId w16cid:paraId="38A35370" w16cid:durableId="641C72FF"/>
  <w16cid:commentId w16cid:paraId="4FCD7BD8" w16cid:durableId="0C657794"/>
  <w16cid:commentId w16cid:paraId="21FF3266" w16cid:durableId="57BA9238"/>
  <w16cid:commentId w16cid:paraId="682018B6" w16cid:durableId="4EF8D00F"/>
  <w16cid:commentId w16cid:paraId="36B52A33" w16cid:durableId="33430A55"/>
  <w16cid:commentId w16cid:paraId="2B1E8CDE" w16cid:durableId="47547419"/>
  <w16cid:commentId w16cid:paraId="0C53D05E" w16cid:durableId="6B96D6C5"/>
  <w16cid:commentId w16cid:paraId="5961EDF4" w16cid:durableId="4322C0DC"/>
  <w16cid:commentId w16cid:paraId="0B5A6E79" w16cid:durableId="350CC5C5"/>
  <w16cid:commentId w16cid:paraId="37E7EB55" w16cid:durableId="08F1D775"/>
  <w16cid:commentId w16cid:paraId="30855A14" w16cid:durableId="263917A8"/>
  <w16cid:commentId w16cid:paraId="4D718D43" w16cid:durableId="261F69B3"/>
  <w16cid:commentId w16cid:paraId="12FB2735" w16cid:durableId="10489FFD"/>
  <w16cid:commentId w16cid:paraId="71B5B783" w16cid:durableId="78C5D6D2"/>
  <w16cid:commentId w16cid:paraId="0FB788D7" w16cid:durableId="1EE828DF"/>
  <w16cid:commentId w16cid:paraId="18683A74" w16cid:durableId="733E83FA"/>
  <w16cid:commentId w16cid:paraId="1762A5DE" w16cid:durableId="6F96063B"/>
  <w16cid:commentId w16cid:paraId="6E0F73B5" w16cid:durableId="67E108DB"/>
  <w16cid:commentId w16cid:paraId="7AAC92A6" w16cid:durableId="754D8CE4"/>
  <w16cid:commentId w16cid:paraId="43E4FBF1" w16cid:durableId="6B80A69B"/>
  <w16cid:commentId w16cid:paraId="3CBB0EC0" w16cid:durableId="693F930C"/>
  <w16cid:commentId w16cid:paraId="6C3E9ECC" w16cid:durableId="349E6653"/>
  <w16cid:commentId w16cid:paraId="0F90C414" w16cid:durableId="5B5294BD"/>
  <w16cid:commentId w16cid:paraId="060AD17D" w16cid:durableId="2851E983"/>
  <w16cid:commentId w16cid:paraId="6186D846" w16cid:durableId="787A352A"/>
  <w16cid:commentId w16cid:paraId="61362048" w16cid:durableId="3F3CA949"/>
  <w16cid:commentId w16cid:paraId="598BD4FC" w16cid:durableId="2E8BD028"/>
  <w16cid:commentId w16cid:paraId="727D2B2A" w16cid:durableId="4EEFFE2B"/>
  <w16cid:commentId w16cid:paraId="6AC318EF" w16cid:durableId="5DD0AFF2"/>
  <w16cid:commentId w16cid:paraId="70653DA0" w16cid:durableId="2BC7E454"/>
  <w16cid:commentId w16cid:paraId="20B21E8D" w16cid:durableId="2B2D546A"/>
  <w16cid:commentId w16cid:paraId="5A4A4D77" w16cid:durableId="4A4BFAB5"/>
  <w16cid:commentId w16cid:paraId="0D4EA00C" w16cid:durableId="60EA93A7"/>
  <w16cid:commentId w16cid:paraId="5E9B5E84" w16cid:durableId="53F8A6D5"/>
  <w16cid:commentId w16cid:paraId="57144CE4" w16cid:durableId="00466CBB"/>
  <w16cid:commentId w16cid:paraId="01FA9EA1" w16cid:durableId="5F95A45D"/>
  <w16cid:commentId w16cid:paraId="048518E9" w16cid:durableId="3CDBFF61"/>
  <w16cid:commentId w16cid:paraId="6C761751" w16cid:durableId="369603DF"/>
  <w16cid:commentId w16cid:paraId="2AFC6AB9" w16cid:durableId="14E5A415"/>
  <w16cid:commentId w16cid:paraId="77608490" w16cid:durableId="07912E0F"/>
  <w16cid:commentId w16cid:paraId="0C36D2F6" w16cid:durableId="43D26BCA"/>
  <w16cid:commentId w16cid:paraId="0B643CF6" w16cid:durableId="5E0D5A99"/>
  <w16cid:commentId w16cid:paraId="1F835D4B" w16cid:durableId="0B6DC347"/>
  <w16cid:commentId w16cid:paraId="225265D0" w16cid:durableId="34004E7F"/>
  <w16cid:commentId w16cid:paraId="4E18AD09" w16cid:durableId="0D8FE074"/>
  <w16cid:commentId w16cid:paraId="23B30F42" w16cid:durableId="4F206506"/>
  <w16cid:commentId w16cid:paraId="39CB1A44" w16cid:durableId="158AF6CC"/>
  <w16cid:commentId w16cid:paraId="3FBB80AA" w16cid:durableId="1A5E3F3F"/>
  <w16cid:commentId w16cid:paraId="68752C62" w16cid:durableId="6611B3DA"/>
  <w16cid:commentId w16cid:paraId="2A07396F" w16cid:durableId="49BD9FCC"/>
  <w16cid:commentId w16cid:paraId="17800C96" w16cid:durableId="1398CB17"/>
  <w16cid:commentId w16cid:paraId="60A940A3" w16cid:durableId="56EA6FCD"/>
  <w16cid:commentId w16cid:paraId="5F980BC1" w16cid:durableId="5AB9C9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C1ABC" w14:textId="77777777" w:rsidR="00F75A5C" w:rsidRDefault="00F75A5C" w:rsidP="008F0ADA">
      <w:pPr>
        <w:spacing w:after="0" w:line="240" w:lineRule="auto"/>
      </w:pPr>
      <w:r>
        <w:separator/>
      </w:r>
    </w:p>
  </w:endnote>
  <w:endnote w:type="continuationSeparator" w:id="0">
    <w:p w14:paraId="6F23C77B" w14:textId="77777777" w:rsidR="00F75A5C" w:rsidRDefault="00F75A5C" w:rsidP="008F0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F75A5C" w14:paraId="01E8BE1C" w14:textId="77777777" w:rsidTr="1C9D8000">
      <w:tc>
        <w:tcPr>
          <w:tcW w:w="3005" w:type="dxa"/>
        </w:tcPr>
        <w:p w14:paraId="08962634" w14:textId="5B1CF8A5" w:rsidR="00F75A5C" w:rsidRDefault="00F75A5C" w:rsidP="73C076F8">
          <w:pPr>
            <w:pStyle w:val="Header"/>
            <w:ind w:left="-115"/>
          </w:pPr>
        </w:p>
      </w:tc>
      <w:tc>
        <w:tcPr>
          <w:tcW w:w="3005" w:type="dxa"/>
        </w:tcPr>
        <w:p w14:paraId="40969898" w14:textId="06332EF1" w:rsidR="00F75A5C" w:rsidRDefault="00F75A5C" w:rsidP="73C076F8">
          <w:pPr>
            <w:pStyle w:val="Header"/>
            <w:jc w:val="center"/>
          </w:pPr>
          <w:r>
            <w:fldChar w:fldCharType="begin"/>
          </w:r>
          <w:r>
            <w:instrText>PAGE</w:instrText>
          </w:r>
          <w:r>
            <w:fldChar w:fldCharType="separate"/>
          </w:r>
          <w:r w:rsidR="00345EB1">
            <w:rPr>
              <w:noProof/>
            </w:rPr>
            <w:t>20</w:t>
          </w:r>
          <w:r>
            <w:fldChar w:fldCharType="end"/>
          </w:r>
        </w:p>
      </w:tc>
      <w:tc>
        <w:tcPr>
          <w:tcW w:w="3005" w:type="dxa"/>
        </w:tcPr>
        <w:p w14:paraId="54535304" w14:textId="7260543B" w:rsidR="00F75A5C" w:rsidRDefault="00F75A5C" w:rsidP="73C076F8">
          <w:pPr>
            <w:pStyle w:val="Header"/>
            <w:ind w:right="-115"/>
            <w:jc w:val="right"/>
          </w:pPr>
        </w:p>
      </w:tc>
    </w:tr>
  </w:tbl>
  <w:p w14:paraId="07F9FA9E" w14:textId="7BEC7B8E" w:rsidR="00F75A5C" w:rsidRDefault="00F75A5C" w:rsidP="73C076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B0448" w14:textId="77777777" w:rsidR="00F75A5C" w:rsidRDefault="00F75A5C" w:rsidP="008F0ADA">
      <w:pPr>
        <w:spacing w:after="0" w:line="240" w:lineRule="auto"/>
      </w:pPr>
      <w:r>
        <w:separator/>
      </w:r>
    </w:p>
  </w:footnote>
  <w:footnote w:type="continuationSeparator" w:id="0">
    <w:p w14:paraId="7BB670DE" w14:textId="77777777" w:rsidR="00F75A5C" w:rsidRDefault="00F75A5C" w:rsidP="008F0ADA">
      <w:pPr>
        <w:spacing w:after="0" w:line="240" w:lineRule="auto"/>
      </w:pPr>
      <w:r>
        <w:continuationSeparator/>
      </w:r>
    </w:p>
  </w:footnote>
  <w:footnote w:id="1">
    <w:p w14:paraId="375C5BDB" w14:textId="2E58B029" w:rsidR="00F75A5C" w:rsidRDefault="00F75A5C">
      <w:pPr>
        <w:pStyle w:val="FootnoteText"/>
      </w:pPr>
      <w:r>
        <w:rPr>
          <w:rStyle w:val="FootnoteReference"/>
        </w:rPr>
        <w:footnoteRef/>
      </w:r>
      <w:r>
        <w:t xml:space="preserve"> The Authority Monitoring Report has previously been referred to as the Annual Monitoring Report.</w:t>
      </w:r>
    </w:p>
  </w:footnote>
  <w:footnote w:id="2">
    <w:p w14:paraId="243CFCA1" w14:textId="3799F8A7" w:rsidR="00F75A5C" w:rsidRDefault="00F75A5C">
      <w:pPr>
        <w:pStyle w:val="FootnoteText"/>
      </w:pPr>
      <w:r w:rsidRPr="00EF2CB2">
        <w:rPr>
          <w:rStyle w:val="FootnoteReference"/>
        </w:rPr>
        <w:footnoteRef/>
      </w:r>
      <w:r>
        <w:t xml:space="preserve"> </w:t>
      </w:r>
      <w:hyperlink r:id="rId1" w:history="1">
        <w:r w:rsidRPr="00EF2CB2">
          <w:rPr>
            <w:rStyle w:val="Hyperlink"/>
          </w:rPr>
          <w:t>Infrastructure Funding Statement (December 2021)</w:t>
        </w:r>
      </w:hyperlink>
      <w:r>
        <w:t xml:space="preserve">. </w:t>
      </w:r>
    </w:p>
  </w:footnote>
  <w:footnote w:id="3">
    <w:p w14:paraId="6D3CB5C0" w14:textId="77777777" w:rsidR="00F75A5C" w:rsidRDefault="00F75A5C" w:rsidP="008F0ADA">
      <w:pPr>
        <w:pStyle w:val="FootnoteText"/>
      </w:pPr>
      <w:r>
        <w:rPr>
          <w:rStyle w:val="FootnoteReference"/>
        </w:rPr>
        <w:footnoteRef/>
      </w:r>
      <w:r>
        <w:t xml:space="preserve"> </w:t>
      </w:r>
      <w:hyperlink r:id="rId2" w:history="1">
        <w:r w:rsidRPr="005206FB">
          <w:rPr>
            <w:rStyle w:val="Hyperlink"/>
            <w:rFonts w:eastAsia="Calibri" w:cs="Times New Roman"/>
          </w:rPr>
          <w:t>Duty to Cooperate Statement</w:t>
        </w:r>
      </w:hyperlink>
    </w:p>
  </w:footnote>
  <w:footnote w:id="4">
    <w:p w14:paraId="404175AD" w14:textId="50D6EA30" w:rsidR="00F75A5C" w:rsidRDefault="00F75A5C">
      <w:pPr>
        <w:pStyle w:val="FootnoteText"/>
      </w:pPr>
      <w:r>
        <w:rPr>
          <w:rStyle w:val="FootnoteReference"/>
        </w:rPr>
        <w:footnoteRef/>
      </w:r>
      <w:r>
        <w:t xml:space="preserve"> </w:t>
      </w:r>
      <w:r w:rsidRPr="00BA5554">
        <w:rPr>
          <w:sz w:val="18"/>
        </w:rPr>
        <w:t>This was originally a temporary change introduced by The Town and Country Planning (General Permitted Development) (Amendment) (England) Order 2013. It was then made permanent by The Town and Country Planning (General Permitted Development) (England) (Amendment) Order 2016.</w:t>
      </w:r>
    </w:p>
  </w:footnote>
  <w:footnote w:id="5">
    <w:p w14:paraId="7C07CFB0" w14:textId="51AAF059" w:rsidR="00F75A5C" w:rsidRDefault="00F75A5C">
      <w:pPr>
        <w:pStyle w:val="FootnoteText"/>
      </w:pPr>
      <w:r>
        <w:rPr>
          <w:rStyle w:val="FootnoteReference"/>
        </w:rPr>
        <w:footnoteRef/>
      </w:r>
      <w:r>
        <w:t xml:space="preserve"> </w:t>
      </w:r>
      <w:hyperlink r:id="rId3" w:history="1">
        <w:r w:rsidRPr="00B4215F">
          <w:rPr>
            <w:rStyle w:val="Hyperlink"/>
          </w:rPr>
          <w:t>Planning Portal – Guide to change of Use classes</w:t>
        </w:r>
      </w:hyperlink>
    </w:p>
  </w:footnote>
  <w:footnote w:id="6">
    <w:p w14:paraId="7FCF2496" w14:textId="77777777" w:rsidR="00F75A5C" w:rsidRPr="006A0717" w:rsidRDefault="00F75A5C" w:rsidP="00E30B31">
      <w:pPr>
        <w:pStyle w:val="FootnoteText"/>
        <w:rPr>
          <w:sz w:val="18"/>
          <w:szCs w:val="18"/>
        </w:rPr>
      </w:pPr>
      <w:r>
        <w:rPr>
          <w:rStyle w:val="FootnoteReference"/>
        </w:rPr>
        <w:footnoteRef/>
      </w:r>
      <w:r>
        <w:t xml:space="preserve"> </w:t>
      </w:r>
      <w:r w:rsidRPr="006A0717">
        <w:rPr>
          <w:sz w:val="18"/>
          <w:szCs w:val="18"/>
        </w:rPr>
        <w:t xml:space="preserve">Planning Practice Guidance: Housing Supply and Delivery: </w:t>
      </w:r>
      <w:hyperlink r:id="rId4" w:anchor="calculating" w:history="1">
        <w:r w:rsidRPr="006A0717">
          <w:rPr>
            <w:rStyle w:val="Hyperlink"/>
            <w:sz w:val="18"/>
            <w:szCs w:val="18"/>
          </w:rPr>
          <w:t>Counting other forms of accommodation: Paragraph 034 Reference ID: 68-034-20190722: How can authorities count student housing in the housing land supply?</w:t>
        </w:r>
      </w:hyperlink>
    </w:p>
    <w:p w14:paraId="216D139F" w14:textId="5A516651" w:rsidR="00F75A5C" w:rsidRDefault="00F75A5C">
      <w:pPr>
        <w:pStyle w:val="FootnoteText"/>
      </w:pPr>
    </w:p>
  </w:footnote>
  <w:footnote w:id="7">
    <w:p w14:paraId="41473B1E" w14:textId="77777777" w:rsidR="00F75A5C" w:rsidRDefault="00F75A5C" w:rsidP="00E30B31">
      <w:pPr>
        <w:tabs>
          <w:tab w:val="left" w:pos="4962"/>
        </w:tabs>
        <w:ind w:right="45"/>
        <w:rPr>
          <w:rStyle w:val="Hyperlink"/>
          <w:sz w:val="18"/>
          <w:szCs w:val="18"/>
        </w:rPr>
      </w:pPr>
      <w:r>
        <w:rPr>
          <w:rStyle w:val="FootnoteReference"/>
        </w:rPr>
        <w:footnoteRef/>
      </w:r>
      <w:r>
        <w:t xml:space="preserve"> </w:t>
      </w:r>
      <w:r w:rsidRPr="00E80837">
        <w:rPr>
          <w:sz w:val="18"/>
          <w:szCs w:val="18"/>
        </w:rPr>
        <w:t>These figures include a ratio of 2.5:1(student accommodation) and 1.8</w:t>
      </w:r>
      <w:r>
        <w:rPr>
          <w:sz w:val="18"/>
          <w:szCs w:val="18"/>
        </w:rPr>
        <w:t xml:space="preserve">:1 (care home) applied from 2017/18 </w:t>
      </w:r>
      <w:r w:rsidRPr="00E80837">
        <w:rPr>
          <w:sz w:val="18"/>
          <w:szCs w:val="18"/>
        </w:rPr>
        <w:t>in the 20</w:t>
      </w:r>
      <w:r>
        <w:rPr>
          <w:sz w:val="18"/>
          <w:szCs w:val="18"/>
        </w:rPr>
        <w:t>20</w:t>
      </w:r>
      <w:r w:rsidRPr="00E80837">
        <w:rPr>
          <w:sz w:val="18"/>
          <w:szCs w:val="18"/>
        </w:rPr>
        <w:t xml:space="preserve"> Housing Delivery test measurement available at</w:t>
      </w:r>
      <w:r w:rsidRPr="00E80837">
        <w:rPr>
          <w:sz w:val="18"/>
        </w:rPr>
        <w:t xml:space="preserve">: </w:t>
      </w:r>
      <w:r w:rsidRPr="00F50DB0">
        <w:rPr>
          <w:rStyle w:val="Hyperlink"/>
          <w:sz w:val="18"/>
          <w:szCs w:val="18"/>
        </w:rPr>
        <w:t>https://www.gov.uk/government/publications/housing-delivery-test-2020-measurement</w:t>
      </w:r>
    </w:p>
    <w:p w14:paraId="78467FC6" w14:textId="0879BCA8" w:rsidR="00F75A5C" w:rsidRDefault="00F75A5C">
      <w:pPr>
        <w:pStyle w:val="FootnoteText"/>
      </w:pPr>
    </w:p>
  </w:footnote>
  <w:footnote w:id="8">
    <w:p w14:paraId="18EBBB7F" w14:textId="77777777" w:rsidR="00F75A5C" w:rsidRPr="006A0717" w:rsidRDefault="00F75A5C" w:rsidP="00FB6398">
      <w:pPr>
        <w:pStyle w:val="FootnoteText"/>
        <w:rPr>
          <w:sz w:val="18"/>
          <w:szCs w:val="18"/>
        </w:rPr>
      </w:pPr>
      <w:r w:rsidRPr="006A0717">
        <w:rPr>
          <w:rStyle w:val="FootnoteReference"/>
          <w:sz w:val="18"/>
          <w:szCs w:val="18"/>
        </w:rPr>
        <w:footnoteRef/>
      </w:r>
      <w:r w:rsidRPr="006A0717">
        <w:rPr>
          <w:sz w:val="18"/>
          <w:szCs w:val="18"/>
        </w:rPr>
        <w:t xml:space="preserve"> </w:t>
      </w:r>
      <w:hyperlink r:id="rId5" w:history="1">
        <w:r w:rsidRPr="00041159">
          <w:rPr>
            <w:rStyle w:val="Hyperlink"/>
            <w:sz w:val="18"/>
            <w:szCs w:val="18"/>
          </w:rPr>
          <w:t>https://www.gov.uk/government/publications/housing-delivery-test-measurement-rule-book</w:t>
        </w:r>
      </w:hyperlink>
      <w:r>
        <w:rPr>
          <w:sz w:val="18"/>
          <w:szCs w:val="18"/>
        </w:rPr>
        <w:t xml:space="preserve"> </w:t>
      </w:r>
    </w:p>
  </w:footnote>
  <w:footnote w:id="9">
    <w:p w14:paraId="329F5502" w14:textId="49F0E2A2" w:rsidR="00F75A5C" w:rsidRDefault="00F75A5C" w:rsidP="00FB6398">
      <w:pPr>
        <w:pStyle w:val="FootnoteText"/>
      </w:pPr>
      <w:r>
        <w:rPr>
          <w:rStyle w:val="FootnoteReference"/>
        </w:rPr>
        <w:footnoteRef/>
      </w:r>
      <w:r>
        <w:t xml:space="preserve"> </w:t>
      </w:r>
      <w:hyperlink r:id="rId6">
        <w:r w:rsidRPr="73C076F8">
          <w:rPr>
            <w:rStyle w:val="Hyperlink"/>
          </w:rPr>
          <w:t>Oxfordshire Insight – Joint Strategic Needs Assessment</w:t>
        </w:r>
      </w:hyperlink>
    </w:p>
  </w:footnote>
  <w:footnote w:id="10">
    <w:p w14:paraId="1743CB0F" w14:textId="77777777" w:rsidR="00F75A5C" w:rsidRDefault="00F75A5C" w:rsidP="000E1360">
      <w:pPr>
        <w:pStyle w:val="FootnoteText"/>
      </w:pPr>
      <w:r>
        <w:rPr>
          <w:rStyle w:val="FootnoteReference"/>
        </w:rPr>
        <w:footnoteRef/>
      </w:r>
      <w:r>
        <w:t xml:space="preserve"> </w:t>
      </w:r>
      <w:hyperlink r:id="rId7">
        <w:r w:rsidRPr="0A6D973C">
          <w:rPr>
            <w:rStyle w:val="Hyperlink"/>
          </w:rPr>
          <w:t>Environment Agency Objections to planning on the basis of flood risk</w:t>
        </w:r>
      </w:hyperlink>
    </w:p>
  </w:footnote>
  <w:footnote w:id="11">
    <w:p w14:paraId="1ED1B500" w14:textId="475F24CB" w:rsidR="00F75A5C" w:rsidRDefault="00F75A5C" w:rsidP="000E1360">
      <w:pPr>
        <w:pStyle w:val="FootnoteText"/>
      </w:pPr>
      <w:r>
        <w:rPr>
          <w:rStyle w:val="FootnoteReference"/>
        </w:rPr>
        <w:footnoteRef/>
      </w:r>
      <w:r>
        <w:t xml:space="preserve"> </w:t>
      </w:r>
      <w:hyperlink r:id="rId8" w:history="1">
        <w:r w:rsidRPr="00EA025A">
          <w:rPr>
            <w:rStyle w:val="Hyperlink"/>
            <w:bCs/>
          </w:rPr>
          <w:t>Air Quality Action Plan 2021-2025</w:t>
        </w:r>
      </w:hyperlink>
      <w:r w:rsidRPr="00685318">
        <w:rPr>
          <w:bCs/>
        </w:rPr>
        <w:t xml:space="preserve">; </w:t>
      </w:r>
      <w:hyperlink r:id="rId9" w:history="1">
        <w:r w:rsidRPr="002A519B">
          <w:rPr>
            <w:rStyle w:val="Hyperlink"/>
            <w:bCs/>
          </w:rPr>
          <w:t>Air Quality Annual Status Report 2020</w:t>
        </w:r>
      </w:hyperlink>
      <w:r w:rsidRPr="00685318">
        <w:rPr>
          <w:bCs/>
        </w:rPr>
        <w:t xml:space="preserve">; </w:t>
      </w:r>
      <w:hyperlink r:id="rId10" w:history="1">
        <w:r w:rsidRPr="002A519B">
          <w:rPr>
            <w:rStyle w:val="Hyperlink"/>
            <w:bCs/>
          </w:rPr>
          <w:t>Air Quality Source Apportionment Study 2020</w:t>
        </w:r>
      </w:hyperlink>
    </w:p>
  </w:footnote>
  <w:footnote w:id="12">
    <w:p w14:paraId="7FF14522" w14:textId="77777777" w:rsidR="00F75A5C" w:rsidRDefault="00F75A5C" w:rsidP="00C1148A">
      <w:pPr>
        <w:pStyle w:val="FootnoteText"/>
      </w:pPr>
      <w:r>
        <w:rPr>
          <w:rStyle w:val="FootnoteReference"/>
        </w:rPr>
        <w:footnoteRef/>
      </w:r>
      <w:r>
        <w:t xml:space="preserve"> </w:t>
      </w:r>
      <w:hyperlink r:id="rId11" w:history="1">
        <w:r w:rsidRPr="00F1165E">
          <w:rPr>
            <w:rStyle w:val="Hyperlink"/>
          </w:rPr>
          <w:t>Annual Monitoring Statement for Archaeological Assets - 2020</w:t>
        </w:r>
      </w:hyperlink>
      <w:r>
        <w:t>.</w:t>
      </w:r>
    </w:p>
    <w:p w14:paraId="3E70CBCD" w14:textId="31946C6B" w:rsidR="00F75A5C" w:rsidRDefault="00F75A5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F75A5C" w14:paraId="31F6BE4E" w14:textId="77777777" w:rsidTr="73C076F8">
      <w:tc>
        <w:tcPr>
          <w:tcW w:w="3005" w:type="dxa"/>
        </w:tcPr>
        <w:p w14:paraId="5CD994C1" w14:textId="3DBCA6A1" w:rsidR="00F75A5C" w:rsidRDefault="00F75A5C" w:rsidP="73C076F8">
          <w:pPr>
            <w:pStyle w:val="Header"/>
            <w:ind w:left="-115"/>
          </w:pPr>
        </w:p>
      </w:tc>
      <w:tc>
        <w:tcPr>
          <w:tcW w:w="3005" w:type="dxa"/>
        </w:tcPr>
        <w:p w14:paraId="65C1BF87" w14:textId="3121399F" w:rsidR="00F75A5C" w:rsidRDefault="00F75A5C" w:rsidP="73C076F8">
          <w:pPr>
            <w:pStyle w:val="Header"/>
            <w:jc w:val="center"/>
          </w:pPr>
        </w:p>
      </w:tc>
      <w:tc>
        <w:tcPr>
          <w:tcW w:w="3005" w:type="dxa"/>
        </w:tcPr>
        <w:p w14:paraId="51E90169" w14:textId="6BAE28DC" w:rsidR="00F75A5C" w:rsidRDefault="00F75A5C" w:rsidP="73C076F8">
          <w:pPr>
            <w:pStyle w:val="Header"/>
            <w:ind w:right="-115"/>
            <w:jc w:val="right"/>
          </w:pPr>
        </w:p>
      </w:tc>
    </w:tr>
  </w:tbl>
  <w:p w14:paraId="61D683CC" w14:textId="1CEBAD26" w:rsidR="00F75A5C" w:rsidRDefault="00F75A5C" w:rsidP="73C076F8">
    <w:pPr>
      <w:pStyle w:val="Header"/>
    </w:pPr>
  </w:p>
</w:hdr>
</file>

<file path=word/intelligence.xml><?xml version="1.0" encoding="utf-8"?>
<int:Intelligence xmlns:int="http://schemas.microsoft.com/office/intelligence/2019/intelligence">
  <int:IntelligenceSettings/>
  <int:Manifest>
    <int:WordHash hashCode="RQHMJQqs6++M3Q" id="ithCPDuG"/>
    <int:WordHash hashCode="zldbvmgfOXng4e" id="idghQ4N6"/>
    <int:WordHash hashCode="q7oTD18l6Suxyv" id="QmbDL0T4"/>
    <int:WordHash hashCode="G52s8pLKFccEHB" id="iJJZ7O0E"/>
    <int:WordHash hashCode="CIVWcvHHrMyLOt" id="UE/BrI9S"/>
    <int:WordHash hashCode="hqyw31oxAYdvRF" id="kC9DG5Tc"/>
    <int:WordHash hashCode="xeOgFhDt0+KKIr" id="bCJNIiDt"/>
    <int:WordHash hashCode="rylSb7qinvPCHV" id="odmGpSMA"/>
    <int:WordHash hashCode="qgrCMP11zQsjFt" id="653cfP2b"/>
  </int:Manifest>
  <int:Observations>
    <int:Content id="ithCPDuG">
      <int:Rejection type="LegacyProofing"/>
    </int:Content>
    <int:Content id="idghQ4N6">
      <int:Rejection type="LegacyProofing"/>
    </int:Content>
    <int:Content id="QmbDL0T4">
      <int:Rejection type="LegacyProofing"/>
    </int:Content>
    <int:Content id="iJJZ7O0E">
      <int:Rejection type="LegacyProofing"/>
    </int:Content>
    <int:Content id="UE/BrI9S">
      <int:Rejection type="LegacyProofing"/>
    </int:Content>
    <int:Content id="kC9DG5Tc">
      <int:Rejection type="LegacyProofing"/>
    </int:Content>
    <int:Content id="bCJNIiDt">
      <int:Rejection type="LegacyProofing"/>
    </int:Content>
    <int:Content id="odmGpSMA">
      <int:Rejection type="LegacyProofing"/>
    </int:Content>
    <int:Content id="653cfP2b">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A20D9"/>
    <w:multiLevelType w:val="hybridMultilevel"/>
    <w:tmpl w:val="FFFFFFFF"/>
    <w:lvl w:ilvl="0" w:tplc="D562D1E4">
      <w:start w:val="1"/>
      <w:numFmt w:val="bullet"/>
      <w:lvlText w:val=""/>
      <w:lvlJc w:val="left"/>
      <w:pPr>
        <w:ind w:left="1080" w:hanging="360"/>
      </w:pPr>
      <w:rPr>
        <w:rFonts w:ascii="Symbol" w:hAnsi="Symbol" w:hint="default"/>
      </w:rPr>
    </w:lvl>
    <w:lvl w:ilvl="1" w:tplc="BB2C0F62">
      <w:start w:val="1"/>
      <w:numFmt w:val="bullet"/>
      <w:lvlText w:val="o"/>
      <w:lvlJc w:val="left"/>
      <w:pPr>
        <w:ind w:left="1800" w:hanging="360"/>
      </w:pPr>
      <w:rPr>
        <w:rFonts w:ascii="Courier New" w:hAnsi="Courier New" w:hint="default"/>
      </w:rPr>
    </w:lvl>
    <w:lvl w:ilvl="2" w:tplc="A8CADDBE">
      <w:start w:val="1"/>
      <w:numFmt w:val="bullet"/>
      <w:lvlText w:val=""/>
      <w:lvlJc w:val="left"/>
      <w:pPr>
        <w:ind w:left="2520" w:hanging="360"/>
      </w:pPr>
      <w:rPr>
        <w:rFonts w:ascii="Wingdings" w:hAnsi="Wingdings" w:hint="default"/>
      </w:rPr>
    </w:lvl>
    <w:lvl w:ilvl="3" w:tplc="4718F2FE">
      <w:start w:val="1"/>
      <w:numFmt w:val="bullet"/>
      <w:lvlText w:val=""/>
      <w:lvlJc w:val="left"/>
      <w:pPr>
        <w:ind w:left="3240" w:hanging="360"/>
      </w:pPr>
      <w:rPr>
        <w:rFonts w:ascii="Symbol" w:hAnsi="Symbol" w:hint="default"/>
      </w:rPr>
    </w:lvl>
    <w:lvl w:ilvl="4" w:tplc="ACBE68D8">
      <w:start w:val="1"/>
      <w:numFmt w:val="bullet"/>
      <w:lvlText w:val="o"/>
      <w:lvlJc w:val="left"/>
      <w:pPr>
        <w:ind w:left="3960" w:hanging="360"/>
      </w:pPr>
      <w:rPr>
        <w:rFonts w:ascii="Courier New" w:hAnsi="Courier New" w:hint="default"/>
      </w:rPr>
    </w:lvl>
    <w:lvl w:ilvl="5" w:tplc="BAF84898">
      <w:start w:val="1"/>
      <w:numFmt w:val="bullet"/>
      <w:lvlText w:val=""/>
      <w:lvlJc w:val="left"/>
      <w:pPr>
        <w:ind w:left="4680" w:hanging="360"/>
      </w:pPr>
      <w:rPr>
        <w:rFonts w:ascii="Wingdings" w:hAnsi="Wingdings" w:hint="default"/>
      </w:rPr>
    </w:lvl>
    <w:lvl w:ilvl="6" w:tplc="79285EEC">
      <w:start w:val="1"/>
      <w:numFmt w:val="bullet"/>
      <w:lvlText w:val=""/>
      <w:lvlJc w:val="left"/>
      <w:pPr>
        <w:ind w:left="5400" w:hanging="360"/>
      </w:pPr>
      <w:rPr>
        <w:rFonts w:ascii="Symbol" w:hAnsi="Symbol" w:hint="default"/>
      </w:rPr>
    </w:lvl>
    <w:lvl w:ilvl="7" w:tplc="10C809B8">
      <w:start w:val="1"/>
      <w:numFmt w:val="bullet"/>
      <w:lvlText w:val="o"/>
      <w:lvlJc w:val="left"/>
      <w:pPr>
        <w:ind w:left="6120" w:hanging="360"/>
      </w:pPr>
      <w:rPr>
        <w:rFonts w:ascii="Courier New" w:hAnsi="Courier New" w:hint="default"/>
      </w:rPr>
    </w:lvl>
    <w:lvl w:ilvl="8" w:tplc="522CD220">
      <w:start w:val="1"/>
      <w:numFmt w:val="bullet"/>
      <w:lvlText w:val=""/>
      <w:lvlJc w:val="left"/>
      <w:pPr>
        <w:ind w:left="6840" w:hanging="360"/>
      </w:pPr>
      <w:rPr>
        <w:rFonts w:ascii="Wingdings" w:hAnsi="Wingdings" w:hint="default"/>
      </w:rPr>
    </w:lvl>
  </w:abstractNum>
  <w:abstractNum w:abstractNumId="1">
    <w:nsid w:val="21C8335C"/>
    <w:multiLevelType w:val="hybridMultilevel"/>
    <w:tmpl w:val="FFFFFFFF"/>
    <w:lvl w:ilvl="0" w:tplc="3E4AEE7E">
      <w:start w:val="1"/>
      <w:numFmt w:val="bullet"/>
      <w:lvlText w:val=""/>
      <w:lvlJc w:val="left"/>
      <w:pPr>
        <w:ind w:left="1080" w:hanging="360"/>
      </w:pPr>
      <w:rPr>
        <w:rFonts w:ascii="Symbol" w:hAnsi="Symbol" w:hint="default"/>
      </w:rPr>
    </w:lvl>
    <w:lvl w:ilvl="1" w:tplc="DCBA86BA">
      <w:start w:val="1"/>
      <w:numFmt w:val="bullet"/>
      <w:lvlText w:val="o"/>
      <w:lvlJc w:val="left"/>
      <w:pPr>
        <w:ind w:left="1800" w:hanging="360"/>
      </w:pPr>
      <w:rPr>
        <w:rFonts w:ascii="Courier New" w:hAnsi="Courier New" w:hint="default"/>
      </w:rPr>
    </w:lvl>
    <w:lvl w:ilvl="2" w:tplc="2F040A9C">
      <w:start w:val="1"/>
      <w:numFmt w:val="bullet"/>
      <w:lvlText w:val=""/>
      <w:lvlJc w:val="left"/>
      <w:pPr>
        <w:ind w:left="2520" w:hanging="360"/>
      </w:pPr>
      <w:rPr>
        <w:rFonts w:ascii="Wingdings" w:hAnsi="Wingdings" w:hint="default"/>
      </w:rPr>
    </w:lvl>
    <w:lvl w:ilvl="3" w:tplc="7514FF7E">
      <w:start w:val="1"/>
      <w:numFmt w:val="bullet"/>
      <w:lvlText w:val=""/>
      <w:lvlJc w:val="left"/>
      <w:pPr>
        <w:ind w:left="3240" w:hanging="360"/>
      </w:pPr>
      <w:rPr>
        <w:rFonts w:ascii="Symbol" w:hAnsi="Symbol" w:hint="default"/>
      </w:rPr>
    </w:lvl>
    <w:lvl w:ilvl="4" w:tplc="085CF538">
      <w:start w:val="1"/>
      <w:numFmt w:val="bullet"/>
      <w:lvlText w:val="o"/>
      <w:lvlJc w:val="left"/>
      <w:pPr>
        <w:ind w:left="3960" w:hanging="360"/>
      </w:pPr>
      <w:rPr>
        <w:rFonts w:ascii="Courier New" w:hAnsi="Courier New" w:hint="default"/>
      </w:rPr>
    </w:lvl>
    <w:lvl w:ilvl="5" w:tplc="18C21D46">
      <w:start w:val="1"/>
      <w:numFmt w:val="bullet"/>
      <w:lvlText w:val=""/>
      <w:lvlJc w:val="left"/>
      <w:pPr>
        <w:ind w:left="4680" w:hanging="360"/>
      </w:pPr>
      <w:rPr>
        <w:rFonts w:ascii="Wingdings" w:hAnsi="Wingdings" w:hint="default"/>
      </w:rPr>
    </w:lvl>
    <w:lvl w:ilvl="6" w:tplc="7FD8DF4A">
      <w:start w:val="1"/>
      <w:numFmt w:val="bullet"/>
      <w:lvlText w:val=""/>
      <w:lvlJc w:val="left"/>
      <w:pPr>
        <w:ind w:left="5400" w:hanging="360"/>
      </w:pPr>
      <w:rPr>
        <w:rFonts w:ascii="Symbol" w:hAnsi="Symbol" w:hint="default"/>
      </w:rPr>
    </w:lvl>
    <w:lvl w:ilvl="7" w:tplc="A9A24C46">
      <w:start w:val="1"/>
      <w:numFmt w:val="bullet"/>
      <w:lvlText w:val="o"/>
      <w:lvlJc w:val="left"/>
      <w:pPr>
        <w:ind w:left="6120" w:hanging="360"/>
      </w:pPr>
      <w:rPr>
        <w:rFonts w:ascii="Courier New" w:hAnsi="Courier New" w:hint="default"/>
      </w:rPr>
    </w:lvl>
    <w:lvl w:ilvl="8" w:tplc="8CE46FBC">
      <w:start w:val="1"/>
      <w:numFmt w:val="bullet"/>
      <w:lvlText w:val=""/>
      <w:lvlJc w:val="left"/>
      <w:pPr>
        <w:ind w:left="6840" w:hanging="360"/>
      </w:pPr>
      <w:rPr>
        <w:rFonts w:ascii="Wingdings" w:hAnsi="Wingdings" w:hint="default"/>
      </w:rPr>
    </w:lvl>
  </w:abstractNum>
  <w:abstractNum w:abstractNumId="2">
    <w:nsid w:val="281555EA"/>
    <w:multiLevelType w:val="multilevel"/>
    <w:tmpl w:val="5F92F682"/>
    <w:lvl w:ilvl="0">
      <w:start w:val="3"/>
      <w:numFmt w:val="decimal"/>
      <w:lvlText w:val="%1"/>
      <w:lvlJc w:val="left"/>
      <w:pPr>
        <w:ind w:left="360" w:hanging="360"/>
      </w:pPr>
    </w:lvl>
    <w:lvl w:ilvl="1">
      <w:start w:val="1"/>
      <w:numFmt w:val="decimal"/>
      <w:lvlText w:val="%1.%2"/>
      <w:lvlJc w:val="left"/>
      <w:pPr>
        <w:ind w:left="502" w:hanging="360"/>
      </w:pPr>
      <w:rPr>
        <w:color w:val="auto"/>
      </w:r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576" w:hanging="1440"/>
      </w:pPr>
    </w:lvl>
  </w:abstractNum>
  <w:abstractNum w:abstractNumId="3">
    <w:nsid w:val="29485E36"/>
    <w:multiLevelType w:val="hybridMultilevel"/>
    <w:tmpl w:val="1654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9C0339"/>
    <w:multiLevelType w:val="multilevel"/>
    <w:tmpl w:val="DC20644C"/>
    <w:lvl w:ilvl="0">
      <w:start w:val="1"/>
      <w:numFmt w:val="decimal"/>
      <w:pStyle w:val="bParagraphtext"/>
      <w:lvlText w:val="%1."/>
      <w:lvlJc w:val="left"/>
      <w:pPr>
        <w:ind w:left="720" w:hanging="360"/>
      </w:pPr>
      <w:rPr>
        <w:rFonts w:eastAsia="Calibri" w:cstheme="majorBidi" w:hint="default"/>
      </w:rPr>
    </w:lvl>
    <w:lvl w:ilvl="1">
      <w:start w:val="1"/>
      <w:numFmt w:val="decimal"/>
      <w:isLgl/>
      <w:lvlText w:val="%1.%2"/>
      <w:lvlJc w:val="left"/>
      <w:pPr>
        <w:ind w:left="720" w:hanging="360"/>
      </w:pPr>
      <w:rPr>
        <w:rFonts w:cs="Calibri" w:hint="default"/>
        <w:b w:val="0"/>
      </w:rPr>
    </w:lvl>
    <w:lvl w:ilvl="2">
      <w:start w:val="1"/>
      <w:numFmt w:val="decimal"/>
      <w:isLgl/>
      <w:lvlText w:val="%1.%2.%3"/>
      <w:lvlJc w:val="left"/>
      <w:pPr>
        <w:ind w:left="1080" w:hanging="720"/>
      </w:pPr>
      <w:rPr>
        <w:rFonts w:cs="Calibri" w:hint="default"/>
      </w:rPr>
    </w:lvl>
    <w:lvl w:ilvl="3">
      <w:start w:val="1"/>
      <w:numFmt w:val="decimal"/>
      <w:isLgl/>
      <w:lvlText w:val="%1.%2.%3.%4"/>
      <w:lvlJc w:val="left"/>
      <w:pPr>
        <w:ind w:left="1080" w:hanging="720"/>
      </w:pPr>
      <w:rPr>
        <w:rFonts w:cs="Calibri" w:hint="default"/>
      </w:rPr>
    </w:lvl>
    <w:lvl w:ilvl="4">
      <w:start w:val="1"/>
      <w:numFmt w:val="decimal"/>
      <w:isLgl/>
      <w:lvlText w:val="%1.%2.%3.%4.%5"/>
      <w:lvlJc w:val="left"/>
      <w:pPr>
        <w:ind w:left="1440" w:hanging="1080"/>
      </w:pPr>
      <w:rPr>
        <w:rFonts w:cs="Calibri" w:hint="default"/>
      </w:rPr>
    </w:lvl>
    <w:lvl w:ilvl="5">
      <w:start w:val="1"/>
      <w:numFmt w:val="decimal"/>
      <w:isLgl/>
      <w:lvlText w:val="%1.%2.%3.%4.%5.%6"/>
      <w:lvlJc w:val="left"/>
      <w:pPr>
        <w:ind w:left="1440" w:hanging="1080"/>
      </w:pPr>
      <w:rPr>
        <w:rFonts w:cs="Calibri" w:hint="default"/>
      </w:rPr>
    </w:lvl>
    <w:lvl w:ilvl="6">
      <w:start w:val="1"/>
      <w:numFmt w:val="decimal"/>
      <w:isLgl/>
      <w:lvlText w:val="%1.%2.%3.%4.%5.%6.%7"/>
      <w:lvlJc w:val="left"/>
      <w:pPr>
        <w:ind w:left="1800" w:hanging="1440"/>
      </w:pPr>
      <w:rPr>
        <w:rFonts w:cs="Calibri" w:hint="default"/>
      </w:rPr>
    </w:lvl>
    <w:lvl w:ilvl="7">
      <w:start w:val="1"/>
      <w:numFmt w:val="decimal"/>
      <w:isLgl/>
      <w:lvlText w:val="%1.%2.%3.%4.%5.%6.%7.%8"/>
      <w:lvlJc w:val="left"/>
      <w:pPr>
        <w:ind w:left="1800" w:hanging="1440"/>
      </w:pPr>
      <w:rPr>
        <w:rFonts w:cs="Calibri" w:hint="default"/>
      </w:rPr>
    </w:lvl>
    <w:lvl w:ilvl="8">
      <w:start w:val="1"/>
      <w:numFmt w:val="decimal"/>
      <w:isLgl/>
      <w:lvlText w:val="%1.%2.%3.%4.%5.%6.%7.%8.%9"/>
      <w:lvlJc w:val="left"/>
      <w:pPr>
        <w:ind w:left="1800" w:hanging="1440"/>
      </w:pPr>
      <w:rPr>
        <w:rFonts w:cs="Calibri" w:hint="default"/>
      </w:rPr>
    </w:lvl>
  </w:abstractNum>
  <w:abstractNum w:abstractNumId="5">
    <w:nsid w:val="34EB494B"/>
    <w:multiLevelType w:val="hybridMultilevel"/>
    <w:tmpl w:val="610432D2"/>
    <w:lvl w:ilvl="0" w:tplc="0108D8B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C25E3E"/>
    <w:multiLevelType w:val="hybridMultilevel"/>
    <w:tmpl w:val="FFFFFFFF"/>
    <w:lvl w:ilvl="0" w:tplc="8FCA9D76">
      <w:start w:val="1"/>
      <w:numFmt w:val="bullet"/>
      <w:lvlText w:val=""/>
      <w:lvlJc w:val="left"/>
      <w:pPr>
        <w:ind w:left="720" w:hanging="360"/>
      </w:pPr>
      <w:rPr>
        <w:rFonts w:ascii="Symbol" w:hAnsi="Symbol" w:hint="default"/>
      </w:rPr>
    </w:lvl>
    <w:lvl w:ilvl="1" w:tplc="2676DDB4">
      <w:start w:val="1"/>
      <w:numFmt w:val="bullet"/>
      <w:lvlText w:val="o"/>
      <w:lvlJc w:val="left"/>
      <w:pPr>
        <w:ind w:left="1440" w:hanging="360"/>
      </w:pPr>
      <w:rPr>
        <w:rFonts w:ascii="Courier New" w:hAnsi="Courier New" w:hint="default"/>
      </w:rPr>
    </w:lvl>
    <w:lvl w:ilvl="2" w:tplc="FD265BB4">
      <w:start w:val="1"/>
      <w:numFmt w:val="bullet"/>
      <w:lvlText w:val=""/>
      <w:lvlJc w:val="left"/>
      <w:pPr>
        <w:ind w:left="2160" w:hanging="360"/>
      </w:pPr>
      <w:rPr>
        <w:rFonts w:ascii="Wingdings" w:hAnsi="Wingdings" w:hint="default"/>
      </w:rPr>
    </w:lvl>
    <w:lvl w:ilvl="3" w:tplc="6BC838D6">
      <w:start w:val="1"/>
      <w:numFmt w:val="bullet"/>
      <w:lvlText w:val=""/>
      <w:lvlJc w:val="left"/>
      <w:pPr>
        <w:ind w:left="2880" w:hanging="360"/>
      </w:pPr>
      <w:rPr>
        <w:rFonts w:ascii="Symbol" w:hAnsi="Symbol" w:hint="default"/>
      </w:rPr>
    </w:lvl>
    <w:lvl w:ilvl="4" w:tplc="C9F2FDC8">
      <w:start w:val="1"/>
      <w:numFmt w:val="bullet"/>
      <w:lvlText w:val="o"/>
      <w:lvlJc w:val="left"/>
      <w:pPr>
        <w:ind w:left="3600" w:hanging="360"/>
      </w:pPr>
      <w:rPr>
        <w:rFonts w:ascii="Courier New" w:hAnsi="Courier New" w:hint="default"/>
      </w:rPr>
    </w:lvl>
    <w:lvl w:ilvl="5" w:tplc="9438933A">
      <w:start w:val="1"/>
      <w:numFmt w:val="bullet"/>
      <w:lvlText w:val=""/>
      <w:lvlJc w:val="left"/>
      <w:pPr>
        <w:ind w:left="4320" w:hanging="360"/>
      </w:pPr>
      <w:rPr>
        <w:rFonts w:ascii="Wingdings" w:hAnsi="Wingdings" w:hint="default"/>
      </w:rPr>
    </w:lvl>
    <w:lvl w:ilvl="6" w:tplc="7BC4A52E">
      <w:start w:val="1"/>
      <w:numFmt w:val="bullet"/>
      <w:lvlText w:val=""/>
      <w:lvlJc w:val="left"/>
      <w:pPr>
        <w:ind w:left="5040" w:hanging="360"/>
      </w:pPr>
      <w:rPr>
        <w:rFonts w:ascii="Symbol" w:hAnsi="Symbol" w:hint="default"/>
      </w:rPr>
    </w:lvl>
    <w:lvl w:ilvl="7" w:tplc="3DAC4438">
      <w:start w:val="1"/>
      <w:numFmt w:val="bullet"/>
      <w:lvlText w:val="o"/>
      <w:lvlJc w:val="left"/>
      <w:pPr>
        <w:ind w:left="5760" w:hanging="360"/>
      </w:pPr>
      <w:rPr>
        <w:rFonts w:ascii="Courier New" w:hAnsi="Courier New" w:hint="default"/>
      </w:rPr>
    </w:lvl>
    <w:lvl w:ilvl="8" w:tplc="748A5EC8">
      <w:start w:val="1"/>
      <w:numFmt w:val="bullet"/>
      <w:lvlText w:val=""/>
      <w:lvlJc w:val="left"/>
      <w:pPr>
        <w:ind w:left="6480" w:hanging="360"/>
      </w:pPr>
      <w:rPr>
        <w:rFonts w:ascii="Wingdings" w:hAnsi="Wingdings" w:hint="default"/>
      </w:rPr>
    </w:lvl>
  </w:abstractNum>
  <w:abstractNum w:abstractNumId="7">
    <w:nsid w:val="3DF80250"/>
    <w:multiLevelType w:val="hybridMultilevel"/>
    <w:tmpl w:val="A712D9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49063494"/>
    <w:multiLevelType w:val="hybridMultilevel"/>
    <w:tmpl w:val="720EEA46"/>
    <w:lvl w:ilvl="0" w:tplc="28300130">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4A8343A9"/>
    <w:multiLevelType w:val="multilevel"/>
    <w:tmpl w:val="27729C70"/>
    <w:lvl w:ilvl="0">
      <w:start w:val="3"/>
      <w:numFmt w:val="decimal"/>
      <w:lvlText w:val="%1"/>
      <w:lvlJc w:val="left"/>
      <w:pPr>
        <w:ind w:left="360" w:hanging="360"/>
      </w:pPr>
      <w:rPr>
        <w:rFonts w:hint="default"/>
      </w:rPr>
    </w:lvl>
    <w:lvl w:ilvl="1">
      <w:start w:val="1"/>
      <w:numFmt w:val="decimal"/>
      <w:lvlText w:val="%1.%2"/>
      <w:lvlJc w:val="left"/>
      <w:pPr>
        <w:ind w:left="502" w:hanging="360"/>
      </w:pPr>
      <w:rPr>
        <w:rFonts w:ascii="Calibri" w:hAnsi="Calibri" w:cs="Calibri" w:hint="default"/>
        <w:color w:val="auto"/>
        <w:sz w:val="22"/>
        <w:szCs w:val="22"/>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nsid w:val="4EB71188"/>
    <w:multiLevelType w:val="hybridMultilevel"/>
    <w:tmpl w:val="FFFFFFFF"/>
    <w:lvl w:ilvl="0" w:tplc="749C1364">
      <w:start w:val="1"/>
      <w:numFmt w:val="bullet"/>
      <w:lvlText w:val=""/>
      <w:lvlJc w:val="left"/>
      <w:pPr>
        <w:ind w:left="1080" w:hanging="360"/>
      </w:pPr>
      <w:rPr>
        <w:rFonts w:ascii="Symbol" w:hAnsi="Symbol" w:hint="default"/>
      </w:rPr>
    </w:lvl>
    <w:lvl w:ilvl="1" w:tplc="55005514">
      <w:start w:val="1"/>
      <w:numFmt w:val="bullet"/>
      <w:lvlText w:val="o"/>
      <w:lvlJc w:val="left"/>
      <w:pPr>
        <w:ind w:left="1800" w:hanging="360"/>
      </w:pPr>
      <w:rPr>
        <w:rFonts w:ascii="Courier New" w:hAnsi="Courier New" w:hint="default"/>
      </w:rPr>
    </w:lvl>
    <w:lvl w:ilvl="2" w:tplc="46A6A760">
      <w:start w:val="1"/>
      <w:numFmt w:val="bullet"/>
      <w:lvlText w:val=""/>
      <w:lvlJc w:val="left"/>
      <w:pPr>
        <w:ind w:left="2520" w:hanging="360"/>
      </w:pPr>
      <w:rPr>
        <w:rFonts w:ascii="Wingdings" w:hAnsi="Wingdings" w:hint="default"/>
      </w:rPr>
    </w:lvl>
    <w:lvl w:ilvl="3" w:tplc="9488BB10">
      <w:start w:val="1"/>
      <w:numFmt w:val="bullet"/>
      <w:lvlText w:val=""/>
      <w:lvlJc w:val="left"/>
      <w:pPr>
        <w:ind w:left="3240" w:hanging="360"/>
      </w:pPr>
      <w:rPr>
        <w:rFonts w:ascii="Symbol" w:hAnsi="Symbol" w:hint="default"/>
      </w:rPr>
    </w:lvl>
    <w:lvl w:ilvl="4" w:tplc="F2845230">
      <w:start w:val="1"/>
      <w:numFmt w:val="bullet"/>
      <w:lvlText w:val="o"/>
      <w:lvlJc w:val="left"/>
      <w:pPr>
        <w:ind w:left="3960" w:hanging="360"/>
      </w:pPr>
      <w:rPr>
        <w:rFonts w:ascii="Courier New" w:hAnsi="Courier New" w:hint="default"/>
      </w:rPr>
    </w:lvl>
    <w:lvl w:ilvl="5" w:tplc="8BC81BFA">
      <w:start w:val="1"/>
      <w:numFmt w:val="bullet"/>
      <w:lvlText w:val=""/>
      <w:lvlJc w:val="left"/>
      <w:pPr>
        <w:ind w:left="4680" w:hanging="360"/>
      </w:pPr>
      <w:rPr>
        <w:rFonts w:ascii="Wingdings" w:hAnsi="Wingdings" w:hint="default"/>
      </w:rPr>
    </w:lvl>
    <w:lvl w:ilvl="6" w:tplc="8850CA82">
      <w:start w:val="1"/>
      <w:numFmt w:val="bullet"/>
      <w:lvlText w:val=""/>
      <w:lvlJc w:val="left"/>
      <w:pPr>
        <w:ind w:left="5400" w:hanging="360"/>
      </w:pPr>
      <w:rPr>
        <w:rFonts w:ascii="Symbol" w:hAnsi="Symbol" w:hint="default"/>
      </w:rPr>
    </w:lvl>
    <w:lvl w:ilvl="7" w:tplc="56020A30">
      <w:start w:val="1"/>
      <w:numFmt w:val="bullet"/>
      <w:lvlText w:val="o"/>
      <w:lvlJc w:val="left"/>
      <w:pPr>
        <w:ind w:left="6120" w:hanging="360"/>
      </w:pPr>
      <w:rPr>
        <w:rFonts w:ascii="Courier New" w:hAnsi="Courier New" w:hint="default"/>
      </w:rPr>
    </w:lvl>
    <w:lvl w:ilvl="8" w:tplc="10A4BEA8">
      <w:start w:val="1"/>
      <w:numFmt w:val="bullet"/>
      <w:lvlText w:val=""/>
      <w:lvlJc w:val="left"/>
      <w:pPr>
        <w:ind w:left="6840" w:hanging="360"/>
      </w:pPr>
      <w:rPr>
        <w:rFonts w:ascii="Wingdings" w:hAnsi="Wingdings" w:hint="default"/>
      </w:rPr>
    </w:lvl>
  </w:abstractNum>
  <w:abstractNum w:abstractNumId="11">
    <w:nsid w:val="51BF6303"/>
    <w:multiLevelType w:val="hybridMultilevel"/>
    <w:tmpl w:val="FD0EB57E"/>
    <w:lvl w:ilvl="0" w:tplc="DF8EDD4A">
      <w:start w:val="1"/>
      <w:numFmt w:val="decimal"/>
      <w:lvlText w:val="2.%1"/>
      <w:lvlJc w:val="left"/>
      <w:pPr>
        <w:ind w:left="567" w:hanging="567"/>
      </w:pPr>
      <w:rPr>
        <w:rFonts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68E608D"/>
    <w:multiLevelType w:val="multilevel"/>
    <w:tmpl w:val="F14EBCC0"/>
    <w:lvl w:ilvl="0">
      <w:start w:val="1"/>
      <w:numFmt w:val="decimal"/>
      <w:lvlText w:val="2.%1"/>
      <w:lvlJc w:val="left"/>
      <w:pPr>
        <w:ind w:left="360" w:hanging="360"/>
      </w:pPr>
      <w:rPr>
        <w:rFonts w:hint="default"/>
        <w:b w:val="0"/>
        <w:sz w:val="22"/>
        <w:szCs w:val="22"/>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5A146F32"/>
    <w:multiLevelType w:val="hybridMultilevel"/>
    <w:tmpl w:val="BE1A69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6"/>
  </w:num>
  <w:num w:numId="2">
    <w:abstractNumId w:val="0"/>
  </w:num>
  <w:num w:numId="3">
    <w:abstractNumId w:val="10"/>
  </w:num>
  <w:num w:numId="4">
    <w:abstractNumId w:val="1"/>
  </w:num>
  <w:num w:numId="5">
    <w:abstractNumId w:val="12"/>
  </w:num>
  <w:num w:numId="6">
    <w:abstractNumId w:val="4"/>
  </w:num>
  <w:num w:numId="7">
    <w:abstractNumId w:val="8"/>
  </w:num>
  <w:num w:numId="8">
    <w:abstractNumId w:val="7"/>
  </w:num>
  <w:num w:numId="9">
    <w:abstractNumId w:val="5"/>
  </w:num>
  <w:num w:numId="10">
    <w:abstractNumId w:val="11"/>
  </w:num>
  <w:num w:numId="11">
    <w:abstractNumId w:val="9"/>
  </w:num>
  <w:num w:numId="12">
    <w:abstractNumId w:val="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ADA"/>
    <w:rsid w:val="00000666"/>
    <w:rsid w:val="000109E8"/>
    <w:rsid w:val="00012DD9"/>
    <w:rsid w:val="00020891"/>
    <w:rsid w:val="0002276A"/>
    <w:rsid w:val="00025417"/>
    <w:rsid w:val="000365B0"/>
    <w:rsid w:val="0003792E"/>
    <w:rsid w:val="000411B1"/>
    <w:rsid w:val="000470A7"/>
    <w:rsid w:val="000A79FF"/>
    <w:rsid w:val="000B6DF6"/>
    <w:rsid w:val="000C055F"/>
    <w:rsid w:val="000D0B09"/>
    <w:rsid w:val="000D3873"/>
    <w:rsid w:val="000D6202"/>
    <w:rsid w:val="000E1360"/>
    <w:rsid w:val="000E2BBF"/>
    <w:rsid w:val="000E78F6"/>
    <w:rsid w:val="0010616B"/>
    <w:rsid w:val="0012069F"/>
    <w:rsid w:val="0012619C"/>
    <w:rsid w:val="00127B8D"/>
    <w:rsid w:val="001315B1"/>
    <w:rsid w:val="00131F48"/>
    <w:rsid w:val="001431C3"/>
    <w:rsid w:val="001450A6"/>
    <w:rsid w:val="0015114D"/>
    <w:rsid w:val="0015507F"/>
    <w:rsid w:val="00157E07"/>
    <w:rsid w:val="001625D9"/>
    <w:rsid w:val="00164B26"/>
    <w:rsid w:val="00186779"/>
    <w:rsid w:val="001867F8"/>
    <w:rsid w:val="0019482F"/>
    <w:rsid w:val="001A1FBF"/>
    <w:rsid w:val="001A3A2E"/>
    <w:rsid w:val="001C340F"/>
    <w:rsid w:val="001D2E3B"/>
    <w:rsid w:val="001D637D"/>
    <w:rsid w:val="001E0C71"/>
    <w:rsid w:val="001F2105"/>
    <w:rsid w:val="001F682E"/>
    <w:rsid w:val="00206C97"/>
    <w:rsid w:val="0021487B"/>
    <w:rsid w:val="002153D5"/>
    <w:rsid w:val="002265CF"/>
    <w:rsid w:val="00241451"/>
    <w:rsid w:val="00241636"/>
    <w:rsid w:val="00255127"/>
    <w:rsid w:val="002715BD"/>
    <w:rsid w:val="00282533"/>
    <w:rsid w:val="00286832"/>
    <w:rsid w:val="00292CDF"/>
    <w:rsid w:val="002A0ECC"/>
    <w:rsid w:val="002A519B"/>
    <w:rsid w:val="002C3CC7"/>
    <w:rsid w:val="002D297C"/>
    <w:rsid w:val="002D63A7"/>
    <w:rsid w:val="002D738A"/>
    <w:rsid w:val="002E0D84"/>
    <w:rsid w:val="002F2F90"/>
    <w:rsid w:val="00300972"/>
    <w:rsid w:val="00305F3B"/>
    <w:rsid w:val="0030723D"/>
    <w:rsid w:val="003149D1"/>
    <w:rsid w:val="00321CDD"/>
    <w:rsid w:val="0032728C"/>
    <w:rsid w:val="00340C3A"/>
    <w:rsid w:val="00345EB1"/>
    <w:rsid w:val="00355060"/>
    <w:rsid w:val="00360EAE"/>
    <w:rsid w:val="00376694"/>
    <w:rsid w:val="00381445"/>
    <w:rsid w:val="00387004"/>
    <w:rsid w:val="0039024B"/>
    <w:rsid w:val="00397B49"/>
    <w:rsid w:val="003B522D"/>
    <w:rsid w:val="003C14DE"/>
    <w:rsid w:val="003C2ADF"/>
    <w:rsid w:val="003E08BF"/>
    <w:rsid w:val="00400B09"/>
    <w:rsid w:val="0040521B"/>
    <w:rsid w:val="00405FD3"/>
    <w:rsid w:val="004072A4"/>
    <w:rsid w:val="00413743"/>
    <w:rsid w:val="00416EBF"/>
    <w:rsid w:val="0042269C"/>
    <w:rsid w:val="00426C38"/>
    <w:rsid w:val="00427B4A"/>
    <w:rsid w:val="0044522B"/>
    <w:rsid w:val="00446E11"/>
    <w:rsid w:val="00452BD6"/>
    <w:rsid w:val="004601A1"/>
    <w:rsid w:val="00472766"/>
    <w:rsid w:val="00475EDC"/>
    <w:rsid w:val="0048016A"/>
    <w:rsid w:val="00485A40"/>
    <w:rsid w:val="00495EF0"/>
    <w:rsid w:val="0049632A"/>
    <w:rsid w:val="004B768B"/>
    <w:rsid w:val="004C65E6"/>
    <w:rsid w:val="004C6D31"/>
    <w:rsid w:val="00515B5B"/>
    <w:rsid w:val="00516B8A"/>
    <w:rsid w:val="00530AD2"/>
    <w:rsid w:val="00536DFF"/>
    <w:rsid w:val="005455FD"/>
    <w:rsid w:val="00564710"/>
    <w:rsid w:val="00581399"/>
    <w:rsid w:val="0058440A"/>
    <w:rsid w:val="005942C8"/>
    <w:rsid w:val="005A2147"/>
    <w:rsid w:val="005A2BAE"/>
    <w:rsid w:val="005B0327"/>
    <w:rsid w:val="005B0995"/>
    <w:rsid w:val="005B7A17"/>
    <w:rsid w:val="005C0479"/>
    <w:rsid w:val="005C21E4"/>
    <w:rsid w:val="005D02F4"/>
    <w:rsid w:val="005F2A3D"/>
    <w:rsid w:val="006087B3"/>
    <w:rsid w:val="00636125"/>
    <w:rsid w:val="00667647"/>
    <w:rsid w:val="00693FFC"/>
    <w:rsid w:val="006971C8"/>
    <w:rsid w:val="006C378A"/>
    <w:rsid w:val="006D724A"/>
    <w:rsid w:val="006E3F38"/>
    <w:rsid w:val="006E4676"/>
    <w:rsid w:val="006E779B"/>
    <w:rsid w:val="006F08F8"/>
    <w:rsid w:val="0074123C"/>
    <w:rsid w:val="007577B6"/>
    <w:rsid w:val="00760A7A"/>
    <w:rsid w:val="00770571"/>
    <w:rsid w:val="00776800"/>
    <w:rsid w:val="007775A0"/>
    <w:rsid w:val="007913FD"/>
    <w:rsid w:val="007A692D"/>
    <w:rsid w:val="007B181B"/>
    <w:rsid w:val="007B4221"/>
    <w:rsid w:val="007B7C98"/>
    <w:rsid w:val="007C65C2"/>
    <w:rsid w:val="007E2369"/>
    <w:rsid w:val="007F603F"/>
    <w:rsid w:val="008079F0"/>
    <w:rsid w:val="00816763"/>
    <w:rsid w:val="00842DC5"/>
    <w:rsid w:val="008434E7"/>
    <w:rsid w:val="00866BB3"/>
    <w:rsid w:val="00886CCC"/>
    <w:rsid w:val="00897820"/>
    <w:rsid w:val="008A2515"/>
    <w:rsid w:val="008A303E"/>
    <w:rsid w:val="008A3363"/>
    <w:rsid w:val="008B0234"/>
    <w:rsid w:val="008B1D59"/>
    <w:rsid w:val="008B5533"/>
    <w:rsid w:val="008D2F41"/>
    <w:rsid w:val="008E35D9"/>
    <w:rsid w:val="008E7B02"/>
    <w:rsid w:val="008F0ADA"/>
    <w:rsid w:val="008F3115"/>
    <w:rsid w:val="008F46CF"/>
    <w:rsid w:val="008F5C8E"/>
    <w:rsid w:val="00925D16"/>
    <w:rsid w:val="009277E4"/>
    <w:rsid w:val="00937626"/>
    <w:rsid w:val="0094217C"/>
    <w:rsid w:val="009725AC"/>
    <w:rsid w:val="00977F45"/>
    <w:rsid w:val="0098298C"/>
    <w:rsid w:val="009832E8"/>
    <w:rsid w:val="00983FDF"/>
    <w:rsid w:val="009851FE"/>
    <w:rsid w:val="00986880"/>
    <w:rsid w:val="009950B8"/>
    <w:rsid w:val="009978CB"/>
    <w:rsid w:val="009A1875"/>
    <w:rsid w:val="009D6717"/>
    <w:rsid w:val="009E66DA"/>
    <w:rsid w:val="009F4D03"/>
    <w:rsid w:val="00A00D7C"/>
    <w:rsid w:val="00A053D1"/>
    <w:rsid w:val="00A07288"/>
    <w:rsid w:val="00A1220F"/>
    <w:rsid w:val="00A25C7B"/>
    <w:rsid w:val="00A27244"/>
    <w:rsid w:val="00A50388"/>
    <w:rsid w:val="00A60BD9"/>
    <w:rsid w:val="00A70D19"/>
    <w:rsid w:val="00A9BB21"/>
    <w:rsid w:val="00AA3EC0"/>
    <w:rsid w:val="00AA66B1"/>
    <w:rsid w:val="00AB5F84"/>
    <w:rsid w:val="00AB7A04"/>
    <w:rsid w:val="00AD4EE0"/>
    <w:rsid w:val="00AE463D"/>
    <w:rsid w:val="00AE5552"/>
    <w:rsid w:val="00AE70A0"/>
    <w:rsid w:val="00AF3791"/>
    <w:rsid w:val="00AF7B60"/>
    <w:rsid w:val="00B01CF7"/>
    <w:rsid w:val="00B14656"/>
    <w:rsid w:val="00B31179"/>
    <w:rsid w:val="00B346E0"/>
    <w:rsid w:val="00B4215F"/>
    <w:rsid w:val="00B42B26"/>
    <w:rsid w:val="00B435A6"/>
    <w:rsid w:val="00B509B2"/>
    <w:rsid w:val="00B60A3F"/>
    <w:rsid w:val="00B62275"/>
    <w:rsid w:val="00B645B5"/>
    <w:rsid w:val="00B97A54"/>
    <w:rsid w:val="00BA217D"/>
    <w:rsid w:val="00BA5A5A"/>
    <w:rsid w:val="00BB7EE1"/>
    <w:rsid w:val="00BE225E"/>
    <w:rsid w:val="00BF348C"/>
    <w:rsid w:val="00C01EF4"/>
    <w:rsid w:val="00C033FC"/>
    <w:rsid w:val="00C059E6"/>
    <w:rsid w:val="00C1148A"/>
    <w:rsid w:val="00C302A2"/>
    <w:rsid w:val="00C31F8D"/>
    <w:rsid w:val="00C3547C"/>
    <w:rsid w:val="00C73F04"/>
    <w:rsid w:val="00C76811"/>
    <w:rsid w:val="00CA5873"/>
    <w:rsid w:val="00CA7EE1"/>
    <w:rsid w:val="00CB55F8"/>
    <w:rsid w:val="00CC48C4"/>
    <w:rsid w:val="00CD22D6"/>
    <w:rsid w:val="00CD3FA8"/>
    <w:rsid w:val="00CE2F61"/>
    <w:rsid w:val="00CE5566"/>
    <w:rsid w:val="00D16C1F"/>
    <w:rsid w:val="00D17D9F"/>
    <w:rsid w:val="00D27218"/>
    <w:rsid w:val="00D35337"/>
    <w:rsid w:val="00D35EDD"/>
    <w:rsid w:val="00D37451"/>
    <w:rsid w:val="00D47ADF"/>
    <w:rsid w:val="00D51199"/>
    <w:rsid w:val="00D56718"/>
    <w:rsid w:val="00D62250"/>
    <w:rsid w:val="00D84669"/>
    <w:rsid w:val="00D97152"/>
    <w:rsid w:val="00DBA8D2"/>
    <w:rsid w:val="00DD00AF"/>
    <w:rsid w:val="00DE52E5"/>
    <w:rsid w:val="00DEAFC4"/>
    <w:rsid w:val="00E036C1"/>
    <w:rsid w:val="00E30B31"/>
    <w:rsid w:val="00E43E9F"/>
    <w:rsid w:val="00E46DC8"/>
    <w:rsid w:val="00E57D21"/>
    <w:rsid w:val="00E60902"/>
    <w:rsid w:val="00E8560D"/>
    <w:rsid w:val="00E92F67"/>
    <w:rsid w:val="00EA025A"/>
    <w:rsid w:val="00EA2EB7"/>
    <w:rsid w:val="00EA793F"/>
    <w:rsid w:val="00EB27AB"/>
    <w:rsid w:val="00EB3687"/>
    <w:rsid w:val="00EC26A0"/>
    <w:rsid w:val="00ECBF37"/>
    <w:rsid w:val="00EE1214"/>
    <w:rsid w:val="00EF2CB2"/>
    <w:rsid w:val="00F03E2F"/>
    <w:rsid w:val="00F07DF2"/>
    <w:rsid w:val="00F1165E"/>
    <w:rsid w:val="00F12C46"/>
    <w:rsid w:val="00F15665"/>
    <w:rsid w:val="00F222AF"/>
    <w:rsid w:val="00F2387D"/>
    <w:rsid w:val="00F413B8"/>
    <w:rsid w:val="00F54E6A"/>
    <w:rsid w:val="00F6562C"/>
    <w:rsid w:val="00F65947"/>
    <w:rsid w:val="00F75A5C"/>
    <w:rsid w:val="00FB6398"/>
    <w:rsid w:val="00FC743E"/>
    <w:rsid w:val="01185927"/>
    <w:rsid w:val="0164A4FF"/>
    <w:rsid w:val="016CCA26"/>
    <w:rsid w:val="017B0067"/>
    <w:rsid w:val="018CFFF6"/>
    <w:rsid w:val="01930912"/>
    <w:rsid w:val="01A56E33"/>
    <w:rsid w:val="01B16869"/>
    <w:rsid w:val="01BE1A16"/>
    <w:rsid w:val="01F5960A"/>
    <w:rsid w:val="01F6AE70"/>
    <w:rsid w:val="01F84613"/>
    <w:rsid w:val="020DB33B"/>
    <w:rsid w:val="0228ECB1"/>
    <w:rsid w:val="0261D848"/>
    <w:rsid w:val="0262C7D0"/>
    <w:rsid w:val="0287A344"/>
    <w:rsid w:val="028BC87E"/>
    <w:rsid w:val="029B98BC"/>
    <w:rsid w:val="02B6A48B"/>
    <w:rsid w:val="02B903D2"/>
    <w:rsid w:val="02EA1CC3"/>
    <w:rsid w:val="02F16BCD"/>
    <w:rsid w:val="02F54A5C"/>
    <w:rsid w:val="02FE17C3"/>
    <w:rsid w:val="0308346B"/>
    <w:rsid w:val="03110F60"/>
    <w:rsid w:val="0330DD44"/>
    <w:rsid w:val="0391DF73"/>
    <w:rsid w:val="03ABD639"/>
    <w:rsid w:val="03EB341B"/>
    <w:rsid w:val="04134994"/>
    <w:rsid w:val="041F5992"/>
    <w:rsid w:val="042280B3"/>
    <w:rsid w:val="042EE07A"/>
    <w:rsid w:val="042EFE1B"/>
    <w:rsid w:val="0430C0B2"/>
    <w:rsid w:val="044E788A"/>
    <w:rsid w:val="04607DAA"/>
    <w:rsid w:val="04B4A107"/>
    <w:rsid w:val="04D945CB"/>
    <w:rsid w:val="04F15B58"/>
    <w:rsid w:val="04F51445"/>
    <w:rsid w:val="04F8FE78"/>
    <w:rsid w:val="05187B3A"/>
    <w:rsid w:val="051A2C2B"/>
    <w:rsid w:val="05379855"/>
    <w:rsid w:val="053BB2C9"/>
    <w:rsid w:val="054C51D3"/>
    <w:rsid w:val="0552FD00"/>
    <w:rsid w:val="05851C63"/>
    <w:rsid w:val="05BE6A08"/>
    <w:rsid w:val="05C747AF"/>
    <w:rsid w:val="05E56FC5"/>
    <w:rsid w:val="0607FAD1"/>
    <w:rsid w:val="06273849"/>
    <w:rsid w:val="064E60BC"/>
    <w:rsid w:val="0655722F"/>
    <w:rsid w:val="065B444E"/>
    <w:rsid w:val="065FB401"/>
    <w:rsid w:val="0675162C"/>
    <w:rsid w:val="06B5E8D8"/>
    <w:rsid w:val="06D6DCFD"/>
    <w:rsid w:val="06EC2A3E"/>
    <w:rsid w:val="0720ECC4"/>
    <w:rsid w:val="073C7CB7"/>
    <w:rsid w:val="07500B02"/>
    <w:rsid w:val="075EFC53"/>
    <w:rsid w:val="077640F4"/>
    <w:rsid w:val="078CF062"/>
    <w:rsid w:val="07AAF092"/>
    <w:rsid w:val="07BCA34F"/>
    <w:rsid w:val="07C62E08"/>
    <w:rsid w:val="081E3BAD"/>
    <w:rsid w:val="0861F68A"/>
    <w:rsid w:val="088A4E35"/>
    <w:rsid w:val="08951C4E"/>
    <w:rsid w:val="08B53E04"/>
    <w:rsid w:val="08B8C0EC"/>
    <w:rsid w:val="08E62DAD"/>
    <w:rsid w:val="090DF6BD"/>
    <w:rsid w:val="097AD278"/>
    <w:rsid w:val="0988CE81"/>
    <w:rsid w:val="0999565E"/>
    <w:rsid w:val="09AC7B92"/>
    <w:rsid w:val="09E4A008"/>
    <w:rsid w:val="09E57F59"/>
    <w:rsid w:val="09FFF348"/>
    <w:rsid w:val="0A4D7B49"/>
    <w:rsid w:val="0A6D973C"/>
    <w:rsid w:val="0A7BF7C2"/>
    <w:rsid w:val="0A8B53DA"/>
    <w:rsid w:val="0A8D2FAB"/>
    <w:rsid w:val="0A988E06"/>
    <w:rsid w:val="0A9D5B20"/>
    <w:rsid w:val="0AB8AA6C"/>
    <w:rsid w:val="0AC29D8A"/>
    <w:rsid w:val="0AD4C5BA"/>
    <w:rsid w:val="0B082CBC"/>
    <w:rsid w:val="0B117D1F"/>
    <w:rsid w:val="0B30204E"/>
    <w:rsid w:val="0B4AD243"/>
    <w:rsid w:val="0B6F3F86"/>
    <w:rsid w:val="0B87991E"/>
    <w:rsid w:val="0BA8AB1C"/>
    <w:rsid w:val="0BD56019"/>
    <w:rsid w:val="0BF65E78"/>
    <w:rsid w:val="0C0F68E0"/>
    <w:rsid w:val="0C132FC0"/>
    <w:rsid w:val="0C28AB3A"/>
    <w:rsid w:val="0C54831F"/>
    <w:rsid w:val="0C638FA7"/>
    <w:rsid w:val="0C712246"/>
    <w:rsid w:val="0C7712E6"/>
    <w:rsid w:val="0CA56D24"/>
    <w:rsid w:val="0CCC024B"/>
    <w:rsid w:val="0D1BE199"/>
    <w:rsid w:val="0D1D5B16"/>
    <w:rsid w:val="0D4E6599"/>
    <w:rsid w:val="0D732F19"/>
    <w:rsid w:val="0D78D327"/>
    <w:rsid w:val="0D802D12"/>
    <w:rsid w:val="0D8B4C50"/>
    <w:rsid w:val="0DB7D7B8"/>
    <w:rsid w:val="0DC4D06D"/>
    <w:rsid w:val="0DECE2B7"/>
    <w:rsid w:val="0E11E046"/>
    <w:rsid w:val="0E533C17"/>
    <w:rsid w:val="0E593B65"/>
    <w:rsid w:val="0E5B834D"/>
    <w:rsid w:val="0E722068"/>
    <w:rsid w:val="0E7869F1"/>
    <w:rsid w:val="0EADD9EE"/>
    <w:rsid w:val="0EC5523E"/>
    <w:rsid w:val="0EF576EB"/>
    <w:rsid w:val="0F165127"/>
    <w:rsid w:val="0F216CC6"/>
    <w:rsid w:val="0F247F88"/>
    <w:rsid w:val="0F44FED6"/>
    <w:rsid w:val="0F5C232F"/>
    <w:rsid w:val="0F87DD76"/>
    <w:rsid w:val="0F8B20B9"/>
    <w:rsid w:val="0FB87DFC"/>
    <w:rsid w:val="0FE62EEC"/>
    <w:rsid w:val="0FF60619"/>
    <w:rsid w:val="1001E23A"/>
    <w:rsid w:val="1015326B"/>
    <w:rsid w:val="1029F6EB"/>
    <w:rsid w:val="10383F91"/>
    <w:rsid w:val="10441C17"/>
    <w:rsid w:val="105EECF8"/>
    <w:rsid w:val="1071DAC6"/>
    <w:rsid w:val="1077A6DA"/>
    <w:rsid w:val="108EF35C"/>
    <w:rsid w:val="109B48F1"/>
    <w:rsid w:val="10C1C7E3"/>
    <w:rsid w:val="10C7DA70"/>
    <w:rsid w:val="10CFEE66"/>
    <w:rsid w:val="10D75E4A"/>
    <w:rsid w:val="10E0E3E6"/>
    <w:rsid w:val="10E130DD"/>
    <w:rsid w:val="10F1CC9C"/>
    <w:rsid w:val="10F7F390"/>
    <w:rsid w:val="1110BDE2"/>
    <w:rsid w:val="113FDF06"/>
    <w:rsid w:val="11564702"/>
    <w:rsid w:val="1166E83B"/>
    <w:rsid w:val="1169C593"/>
    <w:rsid w:val="117606F7"/>
    <w:rsid w:val="1187135F"/>
    <w:rsid w:val="11BDF945"/>
    <w:rsid w:val="11DD37F4"/>
    <w:rsid w:val="11F79B40"/>
    <w:rsid w:val="12247FE7"/>
    <w:rsid w:val="1268F582"/>
    <w:rsid w:val="12724C08"/>
    <w:rsid w:val="12ADCBCF"/>
    <w:rsid w:val="12DD90A0"/>
    <w:rsid w:val="1315CC13"/>
    <w:rsid w:val="1323299F"/>
    <w:rsid w:val="13309F5F"/>
    <w:rsid w:val="1341B4DC"/>
    <w:rsid w:val="1349476A"/>
    <w:rsid w:val="134EBE41"/>
    <w:rsid w:val="1356AE59"/>
    <w:rsid w:val="13A92D81"/>
    <w:rsid w:val="13B86065"/>
    <w:rsid w:val="14796101"/>
    <w:rsid w:val="148224CB"/>
    <w:rsid w:val="14B19C74"/>
    <w:rsid w:val="14C3EDCB"/>
    <w:rsid w:val="1540FEAC"/>
    <w:rsid w:val="1543FCA6"/>
    <w:rsid w:val="15454BE9"/>
    <w:rsid w:val="1554C828"/>
    <w:rsid w:val="15553BF4"/>
    <w:rsid w:val="156006E2"/>
    <w:rsid w:val="156BE9F6"/>
    <w:rsid w:val="15961A1B"/>
    <w:rsid w:val="15A1608D"/>
    <w:rsid w:val="15A35F89"/>
    <w:rsid w:val="160261E3"/>
    <w:rsid w:val="163BE41C"/>
    <w:rsid w:val="1647C985"/>
    <w:rsid w:val="1648BE3D"/>
    <w:rsid w:val="1649B85E"/>
    <w:rsid w:val="16571007"/>
    <w:rsid w:val="16703AF3"/>
    <w:rsid w:val="1674C13A"/>
    <w:rsid w:val="16757D77"/>
    <w:rsid w:val="167A6B05"/>
    <w:rsid w:val="16942392"/>
    <w:rsid w:val="1698C851"/>
    <w:rsid w:val="169F8D64"/>
    <w:rsid w:val="16BF8F2E"/>
    <w:rsid w:val="16FB2166"/>
    <w:rsid w:val="17068DFD"/>
    <w:rsid w:val="1725D5B7"/>
    <w:rsid w:val="1727B8EF"/>
    <w:rsid w:val="173D7433"/>
    <w:rsid w:val="1740A344"/>
    <w:rsid w:val="174D57CF"/>
    <w:rsid w:val="1768FBA6"/>
    <w:rsid w:val="176E7079"/>
    <w:rsid w:val="177B8D34"/>
    <w:rsid w:val="1783E48F"/>
    <w:rsid w:val="178BF4C5"/>
    <w:rsid w:val="17B428F1"/>
    <w:rsid w:val="17DAF157"/>
    <w:rsid w:val="17E12FE0"/>
    <w:rsid w:val="17F6E220"/>
    <w:rsid w:val="17FB8A8B"/>
    <w:rsid w:val="1809DBC8"/>
    <w:rsid w:val="180EB4F2"/>
    <w:rsid w:val="184123B5"/>
    <w:rsid w:val="185A6F68"/>
    <w:rsid w:val="188BD188"/>
    <w:rsid w:val="18C7D601"/>
    <w:rsid w:val="18DB004B"/>
    <w:rsid w:val="18DBF8C9"/>
    <w:rsid w:val="18EC42C2"/>
    <w:rsid w:val="18ECED6B"/>
    <w:rsid w:val="19085958"/>
    <w:rsid w:val="19101565"/>
    <w:rsid w:val="1940F680"/>
    <w:rsid w:val="197A04D5"/>
    <w:rsid w:val="198CA482"/>
    <w:rsid w:val="19AC0D5D"/>
    <w:rsid w:val="19B34012"/>
    <w:rsid w:val="19C72965"/>
    <w:rsid w:val="19FF27DF"/>
    <w:rsid w:val="19FFD551"/>
    <w:rsid w:val="1A092024"/>
    <w:rsid w:val="1A2083A4"/>
    <w:rsid w:val="1A237FD2"/>
    <w:rsid w:val="1A5EE984"/>
    <w:rsid w:val="1A6B025A"/>
    <w:rsid w:val="1A838550"/>
    <w:rsid w:val="1ACB4C86"/>
    <w:rsid w:val="1ADB65BC"/>
    <w:rsid w:val="1AF8061A"/>
    <w:rsid w:val="1B03209E"/>
    <w:rsid w:val="1B2C0C58"/>
    <w:rsid w:val="1B2E3B84"/>
    <w:rsid w:val="1B494BE6"/>
    <w:rsid w:val="1B623856"/>
    <w:rsid w:val="1B8899CA"/>
    <w:rsid w:val="1BA63160"/>
    <w:rsid w:val="1BFD2E3A"/>
    <w:rsid w:val="1C51D7FC"/>
    <w:rsid w:val="1C956292"/>
    <w:rsid w:val="1C9D8000"/>
    <w:rsid w:val="1CBAC9D5"/>
    <w:rsid w:val="1CD14F07"/>
    <w:rsid w:val="1CF2D858"/>
    <w:rsid w:val="1D2114EA"/>
    <w:rsid w:val="1D2D6EC2"/>
    <w:rsid w:val="1D3594E4"/>
    <w:rsid w:val="1D4EAA0C"/>
    <w:rsid w:val="1D5D6488"/>
    <w:rsid w:val="1D636CBA"/>
    <w:rsid w:val="1DA28216"/>
    <w:rsid w:val="1DA73631"/>
    <w:rsid w:val="1DAC4B05"/>
    <w:rsid w:val="1DC58EFC"/>
    <w:rsid w:val="1DC87DEA"/>
    <w:rsid w:val="1DFDE91F"/>
    <w:rsid w:val="1E0E4AAD"/>
    <w:rsid w:val="1E49C53B"/>
    <w:rsid w:val="1E734CB3"/>
    <w:rsid w:val="1E7DFA9C"/>
    <w:rsid w:val="1E973CDC"/>
    <w:rsid w:val="1EE1EDBB"/>
    <w:rsid w:val="1F046E27"/>
    <w:rsid w:val="1F0B149D"/>
    <w:rsid w:val="1F0BB7A1"/>
    <w:rsid w:val="1F1EC03F"/>
    <w:rsid w:val="1F27304B"/>
    <w:rsid w:val="1F30E79C"/>
    <w:rsid w:val="1F430692"/>
    <w:rsid w:val="1F481B66"/>
    <w:rsid w:val="1F48BE31"/>
    <w:rsid w:val="1F49B508"/>
    <w:rsid w:val="1F591E9C"/>
    <w:rsid w:val="1F73BE2D"/>
    <w:rsid w:val="1FA32427"/>
    <w:rsid w:val="1FB22065"/>
    <w:rsid w:val="1FB889D2"/>
    <w:rsid w:val="1FECEB4D"/>
    <w:rsid w:val="1FFCC7FB"/>
    <w:rsid w:val="20114169"/>
    <w:rsid w:val="202F4C30"/>
    <w:rsid w:val="2047464E"/>
    <w:rsid w:val="204CFCD7"/>
    <w:rsid w:val="2088E729"/>
    <w:rsid w:val="20AB9349"/>
    <w:rsid w:val="20C9C1CB"/>
    <w:rsid w:val="20E4C6B3"/>
    <w:rsid w:val="20ED12D5"/>
    <w:rsid w:val="210694F1"/>
    <w:rsid w:val="211EB48C"/>
    <w:rsid w:val="2120DF90"/>
    <w:rsid w:val="21478323"/>
    <w:rsid w:val="2153BD2E"/>
    <w:rsid w:val="2154BCDB"/>
    <w:rsid w:val="2169024F"/>
    <w:rsid w:val="218ABD8B"/>
    <w:rsid w:val="21CC2AB2"/>
    <w:rsid w:val="21D69361"/>
    <w:rsid w:val="21E4792B"/>
    <w:rsid w:val="21EB179A"/>
    <w:rsid w:val="220442EF"/>
    <w:rsid w:val="223A8D5D"/>
    <w:rsid w:val="227FBC28"/>
    <w:rsid w:val="228606ED"/>
    <w:rsid w:val="229445C4"/>
    <w:rsid w:val="2299EB3C"/>
    <w:rsid w:val="22A7EF7A"/>
    <w:rsid w:val="22C05C8D"/>
    <w:rsid w:val="22DB93A9"/>
    <w:rsid w:val="22E390ED"/>
    <w:rsid w:val="22ED8723"/>
    <w:rsid w:val="232FEE0A"/>
    <w:rsid w:val="23426457"/>
    <w:rsid w:val="23545DCB"/>
    <w:rsid w:val="237D1568"/>
    <w:rsid w:val="237EDE9C"/>
    <w:rsid w:val="2382742B"/>
    <w:rsid w:val="238DAE2F"/>
    <w:rsid w:val="239B59BA"/>
    <w:rsid w:val="23A4CCF4"/>
    <w:rsid w:val="23B1B3F7"/>
    <w:rsid w:val="23B27D34"/>
    <w:rsid w:val="23F62D40"/>
    <w:rsid w:val="23F65454"/>
    <w:rsid w:val="23FF1133"/>
    <w:rsid w:val="2421D74E"/>
    <w:rsid w:val="24295F32"/>
    <w:rsid w:val="24606245"/>
    <w:rsid w:val="247D8C31"/>
    <w:rsid w:val="249C3CB4"/>
    <w:rsid w:val="249E2A21"/>
    <w:rsid w:val="24D6A8C8"/>
    <w:rsid w:val="25098FFF"/>
    <w:rsid w:val="2509948D"/>
    <w:rsid w:val="25277E6C"/>
    <w:rsid w:val="253A00BC"/>
    <w:rsid w:val="25547655"/>
    <w:rsid w:val="2555A461"/>
    <w:rsid w:val="2582D40C"/>
    <w:rsid w:val="25A581A2"/>
    <w:rsid w:val="25A9FA78"/>
    <w:rsid w:val="25AA5E6F"/>
    <w:rsid w:val="25C3A59E"/>
    <w:rsid w:val="25CD7F11"/>
    <w:rsid w:val="25DF2C3D"/>
    <w:rsid w:val="25EF3364"/>
    <w:rsid w:val="260E8EB3"/>
    <w:rsid w:val="262C2517"/>
    <w:rsid w:val="265C5F2F"/>
    <w:rsid w:val="266B06D4"/>
    <w:rsid w:val="26B3933B"/>
    <w:rsid w:val="26CDDCFF"/>
    <w:rsid w:val="26F02991"/>
    <w:rsid w:val="27151AFB"/>
    <w:rsid w:val="275501CB"/>
    <w:rsid w:val="278EDF3B"/>
    <w:rsid w:val="279690B2"/>
    <w:rsid w:val="279B8727"/>
    <w:rsid w:val="27A3D35C"/>
    <w:rsid w:val="27D6712C"/>
    <w:rsid w:val="27EA6A94"/>
    <w:rsid w:val="281238A1"/>
    <w:rsid w:val="2835C332"/>
    <w:rsid w:val="285C7113"/>
    <w:rsid w:val="287CA94F"/>
    <w:rsid w:val="288FDAE4"/>
    <w:rsid w:val="28A4373B"/>
    <w:rsid w:val="28B9F554"/>
    <w:rsid w:val="28CB06B0"/>
    <w:rsid w:val="28F0B652"/>
    <w:rsid w:val="29719B44"/>
    <w:rsid w:val="2977E957"/>
    <w:rsid w:val="297F1441"/>
    <w:rsid w:val="29979844"/>
    <w:rsid w:val="2999E3CC"/>
    <w:rsid w:val="29EEE473"/>
    <w:rsid w:val="2A089657"/>
    <w:rsid w:val="2A1EE672"/>
    <w:rsid w:val="2A23F442"/>
    <w:rsid w:val="2A589756"/>
    <w:rsid w:val="2A803AD5"/>
    <w:rsid w:val="2A871305"/>
    <w:rsid w:val="2A968FCA"/>
    <w:rsid w:val="2A9D0ACB"/>
    <w:rsid w:val="2AA9245D"/>
    <w:rsid w:val="2AAEDECF"/>
    <w:rsid w:val="2AE34E03"/>
    <w:rsid w:val="2B0CAD32"/>
    <w:rsid w:val="2B38B85F"/>
    <w:rsid w:val="2B414595"/>
    <w:rsid w:val="2B555E3F"/>
    <w:rsid w:val="2B702CAA"/>
    <w:rsid w:val="2B78D183"/>
    <w:rsid w:val="2B957B20"/>
    <w:rsid w:val="2B9DE32D"/>
    <w:rsid w:val="2BAAB70A"/>
    <w:rsid w:val="2BCC89BE"/>
    <w:rsid w:val="2BE224AF"/>
    <w:rsid w:val="2BEA596D"/>
    <w:rsid w:val="2BEE72EB"/>
    <w:rsid w:val="2C1CCCED"/>
    <w:rsid w:val="2C74B287"/>
    <w:rsid w:val="2CAC6066"/>
    <w:rsid w:val="2CC26463"/>
    <w:rsid w:val="2CD5CF19"/>
    <w:rsid w:val="2CE5D097"/>
    <w:rsid w:val="2CED5F39"/>
    <w:rsid w:val="2CF35545"/>
    <w:rsid w:val="2D3D7276"/>
    <w:rsid w:val="2D437BF9"/>
    <w:rsid w:val="2D514AB2"/>
    <w:rsid w:val="2D6C32A7"/>
    <w:rsid w:val="2D8F966E"/>
    <w:rsid w:val="2D93542F"/>
    <w:rsid w:val="2D964647"/>
    <w:rsid w:val="2DB36E3D"/>
    <w:rsid w:val="2DC44B83"/>
    <w:rsid w:val="2DC4994D"/>
    <w:rsid w:val="2DCC9FFD"/>
    <w:rsid w:val="2E055338"/>
    <w:rsid w:val="2E157755"/>
    <w:rsid w:val="2E496109"/>
    <w:rsid w:val="2E563612"/>
    <w:rsid w:val="2E97CD47"/>
    <w:rsid w:val="2EC1622A"/>
    <w:rsid w:val="2F3906FB"/>
    <w:rsid w:val="2F3B2D64"/>
    <w:rsid w:val="2F4CB220"/>
    <w:rsid w:val="2F68C277"/>
    <w:rsid w:val="2F80368B"/>
    <w:rsid w:val="2FA660FA"/>
    <w:rsid w:val="2FB1F96A"/>
    <w:rsid w:val="2FB95BB6"/>
    <w:rsid w:val="2FC9C065"/>
    <w:rsid w:val="2FD7028A"/>
    <w:rsid w:val="2FDD111E"/>
    <w:rsid w:val="2FEBD16C"/>
    <w:rsid w:val="2FED4A4B"/>
    <w:rsid w:val="300002D1"/>
    <w:rsid w:val="300AC421"/>
    <w:rsid w:val="3010608D"/>
    <w:rsid w:val="301D6CC7"/>
    <w:rsid w:val="304B531E"/>
    <w:rsid w:val="304C42A6"/>
    <w:rsid w:val="304E5A9B"/>
    <w:rsid w:val="307A0D69"/>
    <w:rsid w:val="30883339"/>
    <w:rsid w:val="30B401CB"/>
    <w:rsid w:val="30C2D337"/>
    <w:rsid w:val="30C78A8A"/>
    <w:rsid w:val="30C79E9F"/>
    <w:rsid w:val="30D2083B"/>
    <w:rsid w:val="30D849E4"/>
    <w:rsid w:val="30DC4DCC"/>
    <w:rsid w:val="30E2DEBE"/>
    <w:rsid w:val="30ED5D51"/>
    <w:rsid w:val="30F2CB21"/>
    <w:rsid w:val="312667D9"/>
    <w:rsid w:val="3140B64D"/>
    <w:rsid w:val="3168B890"/>
    <w:rsid w:val="3176BCC1"/>
    <w:rsid w:val="319F4EC3"/>
    <w:rsid w:val="31B2EE82"/>
    <w:rsid w:val="31CDB762"/>
    <w:rsid w:val="31FCEC59"/>
    <w:rsid w:val="3219D100"/>
    <w:rsid w:val="321E042A"/>
    <w:rsid w:val="32ACCD90"/>
    <w:rsid w:val="32DF011B"/>
    <w:rsid w:val="3312B244"/>
    <w:rsid w:val="332CB289"/>
    <w:rsid w:val="332ED8F2"/>
    <w:rsid w:val="332F484A"/>
    <w:rsid w:val="33503FBE"/>
    <w:rsid w:val="335946BE"/>
    <w:rsid w:val="335DD380"/>
    <w:rsid w:val="33824489"/>
    <w:rsid w:val="33A044B9"/>
    <w:rsid w:val="33A34B24"/>
    <w:rsid w:val="33A614D0"/>
    <w:rsid w:val="33B57782"/>
    <w:rsid w:val="33CEB50F"/>
    <w:rsid w:val="33F1D301"/>
    <w:rsid w:val="3416F797"/>
    <w:rsid w:val="342FF827"/>
    <w:rsid w:val="345E4488"/>
    <w:rsid w:val="347A7E71"/>
    <w:rsid w:val="347D1661"/>
    <w:rsid w:val="349A235B"/>
    <w:rsid w:val="34BBCBF5"/>
    <w:rsid w:val="34D1A9F8"/>
    <w:rsid w:val="34DCCB84"/>
    <w:rsid w:val="35003B11"/>
    <w:rsid w:val="35046DD1"/>
    <w:rsid w:val="351D9AB6"/>
    <w:rsid w:val="351FB3C9"/>
    <w:rsid w:val="3520C1BA"/>
    <w:rsid w:val="353F1B85"/>
    <w:rsid w:val="3547784A"/>
    <w:rsid w:val="354E3FFC"/>
    <w:rsid w:val="35746787"/>
    <w:rsid w:val="35B73109"/>
    <w:rsid w:val="35B8BBBA"/>
    <w:rsid w:val="35C2F442"/>
    <w:rsid w:val="35C3ACFE"/>
    <w:rsid w:val="35C7BA30"/>
    <w:rsid w:val="35DBCE2A"/>
    <w:rsid w:val="35E46C23"/>
    <w:rsid w:val="364E95A5"/>
    <w:rsid w:val="3657EF6F"/>
    <w:rsid w:val="365C19A7"/>
    <w:rsid w:val="3675B94B"/>
    <w:rsid w:val="36EA105D"/>
    <w:rsid w:val="372B3A9A"/>
    <w:rsid w:val="375EF00F"/>
    <w:rsid w:val="37807B00"/>
    <w:rsid w:val="378E3F12"/>
    <w:rsid w:val="37A83C5E"/>
    <w:rsid w:val="37A8CC92"/>
    <w:rsid w:val="37B932DA"/>
    <w:rsid w:val="37CC251D"/>
    <w:rsid w:val="37D4D24A"/>
    <w:rsid w:val="37E1525C"/>
    <w:rsid w:val="37EFB31E"/>
    <w:rsid w:val="37FC4F67"/>
    <w:rsid w:val="3818C43F"/>
    <w:rsid w:val="3828484F"/>
    <w:rsid w:val="384811F2"/>
    <w:rsid w:val="38992DB6"/>
    <w:rsid w:val="38A8118D"/>
    <w:rsid w:val="38BFD7B6"/>
    <w:rsid w:val="38D640E2"/>
    <w:rsid w:val="38DCE4AB"/>
    <w:rsid w:val="38E4B4A9"/>
    <w:rsid w:val="38E69901"/>
    <w:rsid w:val="38F01F60"/>
    <w:rsid w:val="38F44EF3"/>
    <w:rsid w:val="38FE3BA2"/>
    <w:rsid w:val="39130198"/>
    <w:rsid w:val="391A5ECF"/>
    <w:rsid w:val="391E17D2"/>
    <w:rsid w:val="393431F0"/>
    <w:rsid w:val="39402DD1"/>
    <w:rsid w:val="394E3C8D"/>
    <w:rsid w:val="39597BC1"/>
    <w:rsid w:val="39798B55"/>
    <w:rsid w:val="397BF16C"/>
    <w:rsid w:val="397E0F41"/>
    <w:rsid w:val="39891661"/>
    <w:rsid w:val="39916769"/>
    <w:rsid w:val="39AD77E0"/>
    <w:rsid w:val="39B091F5"/>
    <w:rsid w:val="39C1BC15"/>
    <w:rsid w:val="39CE0ECC"/>
    <w:rsid w:val="39DA6772"/>
    <w:rsid w:val="3A37E8A2"/>
    <w:rsid w:val="3ADDEC8B"/>
    <w:rsid w:val="3AFDEBA1"/>
    <w:rsid w:val="3B0EAB89"/>
    <w:rsid w:val="3B240FFA"/>
    <w:rsid w:val="3B24F6CF"/>
    <w:rsid w:val="3B50F6E8"/>
    <w:rsid w:val="3BAA7329"/>
    <w:rsid w:val="3BB4D140"/>
    <w:rsid w:val="3BB88036"/>
    <w:rsid w:val="3BC0405E"/>
    <w:rsid w:val="3BC61E61"/>
    <w:rsid w:val="3BF53CC8"/>
    <w:rsid w:val="3C1196F9"/>
    <w:rsid w:val="3C291B52"/>
    <w:rsid w:val="3C307ABF"/>
    <w:rsid w:val="3C46DEFF"/>
    <w:rsid w:val="3C4E9490"/>
    <w:rsid w:val="3C72BFE8"/>
    <w:rsid w:val="3C95A871"/>
    <w:rsid w:val="3C966BC8"/>
    <w:rsid w:val="3C9C09BA"/>
    <w:rsid w:val="3CAC5FCF"/>
    <w:rsid w:val="3CB1B243"/>
    <w:rsid w:val="3CBA2F6D"/>
    <w:rsid w:val="3CD12A6B"/>
    <w:rsid w:val="3CD415A1"/>
    <w:rsid w:val="3CEEEE2D"/>
    <w:rsid w:val="3CFE1439"/>
    <w:rsid w:val="3CFE2C02"/>
    <w:rsid w:val="3D166E41"/>
    <w:rsid w:val="3D335DDD"/>
    <w:rsid w:val="3D4055AA"/>
    <w:rsid w:val="3D43C257"/>
    <w:rsid w:val="3D69C086"/>
    <w:rsid w:val="3D77AC10"/>
    <w:rsid w:val="3D8E3322"/>
    <w:rsid w:val="3D91D0FE"/>
    <w:rsid w:val="3DB21B6C"/>
    <w:rsid w:val="3DB99066"/>
    <w:rsid w:val="3DCA5A19"/>
    <w:rsid w:val="3DDCE0E8"/>
    <w:rsid w:val="3DE13AB8"/>
    <w:rsid w:val="3DE8A5E8"/>
    <w:rsid w:val="3DF508CC"/>
    <w:rsid w:val="3E060AED"/>
    <w:rsid w:val="3E1FA666"/>
    <w:rsid w:val="3E469106"/>
    <w:rsid w:val="3E683CE1"/>
    <w:rsid w:val="3E872AFC"/>
    <w:rsid w:val="3E888ADD"/>
    <w:rsid w:val="3EA4E9C8"/>
    <w:rsid w:val="3EBDBD7B"/>
    <w:rsid w:val="3ECE868D"/>
    <w:rsid w:val="3EF6E3FF"/>
    <w:rsid w:val="3F1ADD40"/>
    <w:rsid w:val="3F4E030A"/>
    <w:rsid w:val="3F601F8D"/>
    <w:rsid w:val="3F995939"/>
    <w:rsid w:val="3F9D4B20"/>
    <w:rsid w:val="3FA1DB4E"/>
    <w:rsid w:val="3FB3DE90"/>
    <w:rsid w:val="3FC71E94"/>
    <w:rsid w:val="3FDF3487"/>
    <w:rsid w:val="3FED640D"/>
    <w:rsid w:val="3FFEEE18"/>
    <w:rsid w:val="4005A4B0"/>
    <w:rsid w:val="4027153B"/>
    <w:rsid w:val="402B6A0B"/>
    <w:rsid w:val="4033AFAE"/>
    <w:rsid w:val="4042EDB8"/>
    <w:rsid w:val="40564444"/>
    <w:rsid w:val="4059117F"/>
    <w:rsid w:val="40596006"/>
    <w:rsid w:val="407E6995"/>
    <w:rsid w:val="40A77D86"/>
    <w:rsid w:val="40D39F3C"/>
    <w:rsid w:val="40D54551"/>
    <w:rsid w:val="41192798"/>
    <w:rsid w:val="412A5D9F"/>
    <w:rsid w:val="4147A057"/>
    <w:rsid w:val="414EE457"/>
    <w:rsid w:val="416EB2A8"/>
    <w:rsid w:val="417FD0F2"/>
    <w:rsid w:val="419A9941"/>
    <w:rsid w:val="41E398D5"/>
    <w:rsid w:val="41E6AD02"/>
    <w:rsid w:val="41F1C4E7"/>
    <w:rsid w:val="41F2F53C"/>
    <w:rsid w:val="42395422"/>
    <w:rsid w:val="4283C6F1"/>
    <w:rsid w:val="42A83754"/>
    <w:rsid w:val="42EF7F9D"/>
    <w:rsid w:val="4303548F"/>
    <w:rsid w:val="4311F548"/>
    <w:rsid w:val="431D7253"/>
    <w:rsid w:val="4323B7BD"/>
    <w:rsid w:val="432C94C5"/>
    <w:rsid w:val="4346E053"/>
    <w:rsid w:val="43477A7D"/>
    <w:rsid w:val="434B2C2D"/>
    <w:rsid w:val="4352E499"/>
    <w:rsid w:val="436140B0"/>
    <w:rsid w:val="436F0D93"/>
    <w:rsid w:val="43A914F9"/>
    <w:rsid w:val="43B93D18"/>
    <w:rsid w:val="43BD606B"/>
    <w:rsid w:val="43CFD0DA"/>
    <w:rsid w:val="43D68407"/>
    <w:rsid w:val="43F5A852"/>
    <w:rsid w:val="43F5AD8D"/>
    <w:rsid w:val="440CFF34"/>
    <w:rsid w:val="441FE03B"/>
    <w:rsid w:val="447A0D41"/>
    <w:rsid w:val="44D0019E"/>
    <w:rsid w:val="44D2F3EA"/>
    <w:rsid w:val="44DAFE6D"/>
    <w:rsid w:val="44E929FB"/>
    <w:rsid w:val="44F1F50B"/>
    <w:rsid w:val="44F52D5D"/>
    <w:rsid w:val="4506C83E"/>
    <w:rsid w:val="45207973"/>
    <w:rsid w:val="454E8CEB"/>
    <w:rsid w:val="45BB212E"/>
    <w:rsid w:val="45BCDCF3"/>
    <w:rsid w:val="45BECA05"/>
    <w:rsid w:val="45CB1288"/>
    <w:rsid w:val="45CD54D3"/>
    <w:rsid w:val="45D3736B"/>
    <w:rsid w:val="45D88AFA"/>
    <w:rsid w:val="45EE3948"/>
    <w:rsid w:val="460B2394"/>
    <w:rsid w:val="46789BB4"/>
    <w:rsid w:val="468AECBB"/>
    <w:rsid w:val="4691A173"/>
    <w:rsid w:val="469B9EFE"/>
    <w:rsid w:val="46A790CD"/>
    <w:rsid w:val="46B14D1E"/>
    <w:rsid w:val="46CBB1C9"/>
    <w:rsid w:val="46EAE581"/>
    <w:rsid w:val="46FC1EF7"/>
    <w:rsid w:val="46FC37FF"/>
    <w:rsid w:val="47101874"/>
    <w:rsid w:val="4744010C"/>
    <w:rsid w:val="4744A96E"/>
    <w:rsid w:val="4748F8A1"/>
    <w:rsid w:val="474BF757"/>
    <w:rsid w:val="4756F18F"/>
    <w:rsid w:val="4760D796"/>
    <w:rsid w:val="47692534"/>
    <w:rsid w:val="476E8A9D"/>
    <w:rsid w:val="4796869A"/>
    <w:rsid w:val="47A8CDB7"/>
    <w:rsid w:val="47C62C43"/>
    <w:rsid w:val="47CB18DE"/>
    <w:rsid w:val="47D002BE"/>
    <w:rsid w:val="47F0192D"/>
    <w:rsid w:val="48072D12"/>
    <w:rsid w:val="481578CC"/>
    <w:rsid w:val="484AFB07"/>
    <w:rsid w:val="48802E29"/>
    <w:rsid w:val="48BC5142"/>
    <w:rsid w:val="48D26B67"/>
    <w:rsid w:val="49263946"/>
    <w:rsid w:val="494C0CCB"/>
    <w:rsid w:val="494F6924"/>
    <w:rsid w:val="494FF8D1"/>
    <w:rsid w:val="49BC9B1E"/>
    <w:rsid w:val="49BF7ABB"/>
    <w:rsid w:val="49F295F9"/>
    <w:rsid w:val="4A218D35"/>
    <w:rsid w:val="4A31F3D3"/>
    <w:rsid w:val="4A336C86"/>
    <w:rsid w:val="4A431942"/>
    <w:rsid w:val="4A55707E"/>
    <w:rsid w:val="4A682C27"/>
    <w:rsid w:val="4A6CB938"/>
    <w:rsid w:val="4A7223CA"/>
    <w:rsid w:val="4A85768F"/>
    <w:rsid w:val="4ABBAC83"/>
    <w:rsid w:val="4AD1D32F"/>
    <w:rsid w:val="4AE8BF33"/>
    <w:rsid w:val="4B0C1E82"/>
    <w:rsid w:val="4B15CFF8"/>
    <w:rsid w:val="4B2A38F5"/>
    <w:rsid w:val="4B49E9AA"/>
    <w:rsid w:val="4B6E5BD5"/>
    <w:rsid w:val="4B97147E"/>
    <w:rsid w:val="4BE76BF8"/>
    <w:rsid w:val="4BFA6DE5"/>
    <w:rsid w:val="4BFDFDB6"/>
    <w:rsid w:val="4C06C83F"/>
    <w:rsid w:val="4C11619B"/>
    <w:rsid w:val="4C2D5F3E"/>
    <w:rsid w:val="4C5D0489"/>
    <w:rsid w:val="4C645163"/>
    <w:rsid w:val="4C7FB3AD"/>
    <w:rsid w:val="4C838B8F"/>
    <w:rsid w:val="4C9A2B21"/>
    <w:rsid w:val="4CAD0A31"/>
    <w:rsid w:val="4CB0BA66"/>
    <w:rsid w:val="4CD92B1A"/>
    <w:rsid w:val="4CE96C7B"/>
    <w:rsid w:val="4D0BBAEB"/>
    <w:rsid w:val="4D209739"/>
    <w:rsid w:val="4D6025D9"/>
    <w:rsid w:val="4DA63F32"/>
    <w:rsid w:val="4DA6EF75"/>
    <w:rsid w:val="4DD5D702"/>
    <w:rsid w:val="4DED9D1A"/>
    <w:rsid w:val="4DF0E764"/>
    <w:rsid w:val="4E061388"/>
    <w:rsid w:val="4E144510"/>
    <w:rsid w:val="4E152144"/>
    <w:rsid w:val="4E21FE24"/>
    <w:rsid w:val="4E241C3D"/>
    <w:rsid w:val="4E246FD1"/>
    <w:rsid w:val="4E2F82BE"/>
    <w:rsid w:val="4E58FBB2"/>
    <w:rsid w:val="4E601924"/>
    <w:rsid w:val="4E6F509C"/>
    <w:rsid w:val="4E800E8E"/>
    <w:rsid w:val="4E9B481A"/>
    <w:rsid w:val="4EAC064A"/>
    <w:rsid w:val="4ED826EA"/>
    <w:rsid w:val="4F16E474"/>
    <w:rsid w:val="4F1F373D"/>
    <w:rsid w:val="4F26144C"/>
    <w:rsid w:val="4F694A9E"/>
    <w:rsid w:val="4F94A54B"/>
    <w:rsid w:val="4FA85F30"/>
    <w:rsid w:val="4FC44C2E"/>
    <w:rsid w:val="4FEED41D"/>
    <w:rsid w:val="500AB093"/>
    <w:rsid w:val="500DB275"/>
    <w:rsid w:val="501593E2"/>
    <w:rsid w:val="50324DDF"/>
    <w:rsid w:val="504F7836"/>
    <w:rsid w:val="5055AFDA"/>
    <w:rsid w:val="506321D5"/>
    <w:rsid w:val="506C88C7"/>
    <w:rsid w:val="506DE9CC"/>
    <w:rsid w:val="506E1597"/>
    <w:rsid w:val="5071A9CA"/>
    <w:rsid w:val="5076D0BC"/>
    <w:rsid w:val="50A8FDF3"/>
    <w:rsid w:val="50B12C6F"/>
    <w:rsid w:val="50D2A294"/>
    <w:rsid w:val="50E23775"/>
    <w:rsid w:val="50EFAC78"/>
    <w:rsid w:val="50FE1A5A"/>
    <w:rsid w:val="511E350C"/>
    <w:rsid w:val="512C0301"/>
    <w:rsid w:val="514F6C94"/>
    <w:rsid w:val="5160825C"/>
    <w:rsid w:val="5181AF6C"/>
    <w:rsid w:val="5192C1BC"/>
    <w:rsid w:val="51A9EE40"/>
    <w:rsid w:val="51AE9039"/>
    <w:rsid w:val="51F24CA5"/>
    <w:rsid w:val="51FBE0C6"/>
    <w:rsid w:val="520EA7BD"/>
    <w:rsid w:val="521527F5"/>
    <w:rsid w:val="522A0685"/>
    <w:rsid w:val="5251B356"/>
    <w:rsid w:val="52665ABF"/>
    <w:rsid w:val="52A32706"/>
    <w:rsid w:val="52A9A83F"/>
    <w:rsid w:val="52AA781A"/>
    <w:rsid w:val="52C05918"/>
    <w:rsid w:val="52D9FE54"/>
    <w:rsid w:val="52E57DB8"/>
    <w:rsid w:val="52EB3CF5"/>
    <w:rsid w:val="52FE802A"/>
    <w:rsid w:val="530F819B"/>
    <w:rsid w:val="5311BD67"/>
    <w:rsid w:val="532FAC78"/>
    <w:rsid w:val="53820F8C"/>
    <w:rsid w:val="53B8116A"/>
    <w:rsid w:val="54229713"/>
    <w:rsid w:val="5436705F"/>
    <w:rsid w:val="5452909A"/>
    <w:rsid w:val="545B46FE"/>
    <w:rsid w:val="546300B8"/>
    <w:rsid w:val="5492B318"/>
    <w:rsid w:val="54D9A638"/>
    <w:rsid w:val="54E5F26F"/>
    <w:rsid w:val="5534FC15"/>
    <w:rsid w:val="5541C024"/>
    <w:rsid w:val="558600A8"/>
    <w:rsid w:val="55A413B2"/>
    <w:rsid w:val="55C31D9B"/>
    <w:rsid w:val="55ECDFF8"/>
    <w:rsid w:val="55FD3AD0"/>
    <w:rsid w:val="5603E6CF"/>
    <w:rsid w:val="562E8379"/>
    <w:rsid w:val="56572DEE"/>
    <w:rsid w:val="56608EB8"/>
    <w:rsid w:val="568F12DB"/>
    <w:rsid w:val="56A9B119"/>
    <w:rsid w:val="56C33FF0"/>
    <w:rsid w:val="56C51C9A"/>
    <w:rsid w:val="56F001F4"/>
    <w:rsid w:val="56F5F8A3"/>
    <w:rsid w:val="5703F02D"/>
    <w:rsid w:val="570BD787"/>
    <w:rsid w:val="570C7CD0"/>
    <w:rsid w:val="571F29D6"/>
    <w:rsid w:val="5724EA4F"/>
    <w:rsid w:val="573568C5"/>
    <w:rsid w:val="573FE413"/>
    <w:rsid w:val="57496FC8"/>
    <w:rsid w:val="575E2F89"/>
    <w:rsid w:val="57638C5E"/>
    <w:rsid w:val="578839DF"/>
    <w:rsid w:val="5792BF32"/>
    <w:rsid w:val="579FAB9D"/>
    <w:rsid w:val="57A2927D"/>
    <w:rsid w:val="57A6B6F2"/>
    <w:rsid w:val="57ACF774"/>
    <w:rsid w:val="57AF6504"/>
    <w:rsid w:val="57B3599D"/>
    <w:rsid w:val="57BEA313"/>
    <w:rsid w:val="57E595F4"/>
    <w:rsid w:val="57E79749"/>
    <w:rsid w:val="58096B7B"/>
    <w:rsid w:val="582076C5"/>
    <w:rsid w:val="58264B0F"/>
    <w:rsid w:val="5833A706"/>
    <w:rsid w:val="5833D075"/>
    <w:rsid w:val="584D99EC"/>
    <w:rsid w:val="589A25C9"/>
    <w:rsid w:val="58AC0809"/>
    <w:rsid w:val="58D1244B"/>
    <w:rsid w:val="58E87CF9"/>
    <w:rsid w:val="58E9FD55"/>
    <w:rsid w:val="590BF934"/>
    <w:rsid w:val="590F7DC6"/>
    <w:rsid w:val="591DEC89"/>
    <w:rsid w:val="5930FCF5"/>
    <w:rsid w:val="59392A0D"/>
    <w:rsid w:val="59606B77"/>
    <w:rsid w:val="59908A67"/>
    <w:rsid w:val="59CA8176"/>
    <w:rsid w:val="59DC3FEC"/>
    <w:rsid w:val="59F48081"/>
    <w:rsid w:val="59F87C87"/>
    <w:rsid w:val="5A1D6293"/>
    <w:rsid w:val="5A201A23"/>
    <w:rsid w:val="5A2B0929"/>
    <w:rsid w:val="5A31B21A"/>
    <w:rsid w:val="5A57B925"/>
    <w:rsid w:val="5A8040AE"/>
    <w:rsid w:val="5A88C9A9"/>
    <w:rsid w:val="5A933FE1"/>
    <w:rsid w:val="5A9FE5D0"/>
    <w:rsid w:val="5AA68026"/>
    <w:rsid w:val="5AC88A39"/>
    <w:rsid w:val="5ADC4CFF"/>
    <w:rsid w:val="5AF4113E"/>
    <w:rsid w:val="5AF501F1"/>
    <w:rsid w:val="5AF90AD2"/>
    <w:rsid w:val="5B0B1BB1"/>
    <w:rsid w:val="5B0E5AE0"/>
    <w:rsid w:val="5B12E05B"/>
    <w:rsid w:val="5B16DDA0"/>
    <w:rsid w:val="5B32979F"/>
    <w:rsid w:val="5BBBA529"/>
    <w:rsid w:val="5BBBEA84"/>
    <w:rsid w:val="5BD88E3D"/>
    <w:rsid w:val="5BE1BF8C"/>
    <w:rsid w:val="5C19052F"/>
    <w:rsid w:val="5C4ACF95"/>
    <w:rsid w:val="5C59FFF6"/>
    <w:rsid w:val="5C5A4E35"/>
    <w:rsid w:val="5C61C88A"/>
    <w:rsid w:val="5C765172"/>
    <w:rsid w:val="5C7B47AF"/>
    <w:rsid w:val="5CAE8CCF"/>
    <w:rsid w:val="5CB8AE2F"/>
    <w:rsid w:val="5CD53CAC"/>
    <w:rsid w:val="5D40129B"/>
    <w:rsid w:val="5D4C989F"/>
    <w:rsid w:val="5D5EC02E"/>
    <w:rsid w:val="5D726DEB"/>
    <w:rsid w:val="5D9BABA6"/>
    <w:rsid w:val="5DBB2C43"/>
    <w:rsid w:val="5DC13BDD"/>
    <w:rsid w:val="5DF00D5B"/>
    <w:rsid w:val="5E1295FA"/>
    <w:rsid w:val="5E18130A"/>
    <w:rsid w:val="5E1A1CA6"/>
    <w:rsid w:val="5E53D087"/>
    <w:rsid w:val="5EC22A14"/>
    <w:rsid w:val="5EC3A6B4"/>
    <w:rsid w:val="5F139B4A"/>
    <w:rsid w:val="5F142854"/>
    <w:rsid w:val="5F16F549"/>
    <w:rsid w:val="5F2E34D0"/>
    <w:rsid w:val="5F347E90"/>
    <w:rsid w:val="5F67A244"/>
    <w:rsid w:val="5F7A99E1"/>
    <w:rsid w:val="5FA8BB82"/>
    <w:rsid w:val="5FAAC915"/>
    <w:rsid w:val="601C209A"/>
    <w:rsid w:val="6042D54D"/>
    <w:rsid w:val="60486FF3"/>
    <w:rsid w:val="60566AAB"/>
    <w:rsid w:val="605C940E"/>
    <w:rsid w:val="6075BC96"/>
    <w:rsid w:val="6079F7A2"/>
    <w:rsid w:val="609420C1"/>
    <w:rsid w:val="60972616"/>
    <w:rsid w:val="60C382F3"/>
    <w:rsid w:val="60DED446"/>
    <w:rsid w:val="613C0628"/>
    <w:rsid w:val="6150B0E6"/>
    <w:rsid w:val="615BD404"/>
    <w:rsid w:val="615D9379"/>
    <w:rsid w:val="6183A2F8"/>
    <w:rsid w:val="618CCF81"/>
    <w:rsid w:val="61A2F419"/>
    <w:rsid w:val="61D30AED"/>
    <w:rsid w:val="61E0F157"/>
    <w:rsid w:val="61E2B1FB"/>
    <w:rsid w:val="62000BB3"/>
    <w:rsid w:val="6207ABAE"/>
    <w:rsid w:val="62082B0F"/>
    <w:rsid w:val="620BCC2D"/>
    <w:rsid w:val="620FEE9D"/>
    <w:rsid w:val="6237A6F1"/>
    <w:rsid w:val="6274E9E9"/>
    <w:rsid w:val="628CFDB8"/>
    <w:rsid w:val="62979B6B"/>
    <w:rsid w:val="62A6C69B"/>
    <w:rsid w:val="62DCEF59"/>
    <w:rsid w:val="630A1FDE"/>
    <w:rsid w:val="630EBF70"/>
    <w:rsid w:val="630F1E76"/>
    <w:rsid w:val="63899700"/>
    <w:rsid w:val="638E8EFD"/>
    <w:rsid w:val="63BBB4B2"/>
    <w:rsid w:val="63C07520"/>
    <w:rsid w:val="63C2FB6B"/>
    <w:rsid w:val="63C5F03D"/>
    <w:rsid w:val="63D03675"/>
    <w:rsid w:val="640D2C44"/>
    <w:rsid w:val="640E1866"/>
    <w:rsid w:val="642DA1AD"/>
    <w:rsid w:val="646329D6"/>
    <w:rsid w:val="646511DB"/>
    <w:rsid w:val="6471F94E"/>
    <w:rsid w:val="647B118B"/>
    <w:rsid w:val="647E5412"/>
    <w:rsid w:val="64A191D6"/>
    <w:rsid w:val="64A8D6E2"/>
    <w:rsid w:val="64AF9D16"/>
    <w:rsid w:val="64C25DC2"/>
    <w:rsid w:val="6505DC6E"/>
    <w:rsid w:val="65311189"/>
    <w:rsid w:val="653F3416"/>
    <w:rsid w:val="6541A1B7"/>
    <w:rsid w:val="65439C45"/>
    <w:rsid w:val="65889E74"/>
    <w:rsid w:val="65A34EED"/>
    <w:rsid w:val="65B98E57"/>
    <w:rsid w:val="65BF5A95"/>
    <w:rsid w:val="65C5E169"/>
    <w:rsid w:val="65C94684"/>
    <w:rsid w:val="65CA81C7"/>
    <w:rsid w:val="65DF99E3"/>
    <w:rsid w:val="663E9CD6"/>
    <w:rsid w:val="6641C549"/>
    <w:rsid w:val="664B6D77"/>
    <w:rsid w:val="66CFD418"/>
    <w:rsid w:val="66D33C0A"/>
    <w:rsid w:val="66FA73BA"/>
    <w:rsid w:val="671F3A39"/>
    <w:rsid w:val="67202152"/>
    <w:rsid w:val="6744CD06"/>
    <w:rsid w:val="67576416"/>
    <w:rsid w:val="675B0362"/>
    <w:rsid w:val="675DB78C"/>
    <w:rsid w:val="675DF563"/>
    <w:rsid w:val="676A7575"/>
    <w:rsid w:val="67786F48"/>
    <w:rsid w:val="678F6818"/>
    <w:rsid w:val="678F8DDA"/>
    <w:rsid w:val="67A4A023"/>
    <w:rsid w:val="67FA369D"/>
    <w:rsid w:val="6812359D"/>
    <w:rsid w:val="6818B687"/>
    <w:rsid w:val="684FAC5C"/>
    <w:rsid w:val="6873071E"/>
    <w:rsid w:val="687493E1"/>
    <w:rsid w:val="688C02E5"/>
    <w:rsid w:val="68B8009B"/>
    <w:rsid w:val="68B92F8B"/>
    <w:rsid w:val="68DE5FDA"/>
    <w:rsid w:val="68EDB842"/>
    <w:rsid w:val="68EDB959"/>
    <w:rsid w:val="69105708"/>
    <w:rsid w:val="6910D05C"/>
    <w:rsid w:val="6910E227"/>
    <w:rsid w:val="691A83EE"/>
    <w:rsid w:val="691FE7D4"/>
    <w:rsid w:val="692AB381"/>
    <w:rsid w:val="695BAC85"/>
    <w:rsid w:val="69872248"/>
    <w:rsid w:val="69998ED6"/>
    <w:rsid w:val="69E1DD85"/>
    <w:rsid w:val="69E6BEBB"/>
    <w:rsid w:val="69EF15AD"/>
    <w:rsid w:val="69FCDB92"/>
    <w:rsid w:val="6A179874"/>
    <w:rsid w:val="6A3601A7"/>
    <w:rsid w:val="6A456E4E"/>
    <w:rsid w:val="6A67EAC2"/>
    <w:rsid w:val="6A8148C7"/>
    <w:rsid w:val="6A938A2B"/>
    <w:rsid w:val="6AB63F74"/>
    <w:rsid w:val="6ADA6F68"/>
    <w:rsid w:val="6AF07A87"/>
    <w:rsid w:val="6B06682C"/>
    <w:rsid w:val="6B3B98D7"/>
    <w:rsid w:val="6B3DA393"/>
    <w:rsid w:val="6B3E72F4"/>
    <w:rsid w:val="6B4A302B"/>
    <w:rsid w:val="6B75809A"/>
    <w:rsid w:val="6B8AEBB4"/>
    <w:rsid w:val="6B8AF747"/>
    <w:rsid w:val="6B991BA5"/>
    <w:rsid w:val="6BAB5EA8"/>
    <w:rsid w:val="6BD9D69E"/>
    <w:rsid w:val="6BE5260F"/>
    <w:rsid w:val="6BEFFCA2"/>
    <w:rsid w:val="6BF7DFBC"/>
    <w:rsid w:val="6BFCAF85"/>
    <w:rsid w:val="6C16336D"/>
    <w:rsid w:val="6C1B00B0"/>
    <w:rsid w:val="6C4FB1C8"/>
    <w:rsid w:val="6CA2388D"/>
    <w:rsid w:val="6CA5333A"/>
    <w:rsid w:val="6CB1DCC0"/>
    <w:rsid w:val="6CC43D03"/>
    <w:rsid w:val="6CC6184D"/>
    <w:rsid w:val="6D026D62"/>
    <w:rsid w:val="6D07ABE7"/>
    <w:rsid w:val="6D190AA6"/>
    <w:rsid w:val="6D2B9A18"/>
    <w:rsid w:val="6D2CFA94"/>
    <w:rsid w:val="6D8BD372"/>
    <w:rsid w:val="6DA0DD6F"/>
    <w:rsid w:val="6DC2A06F"/>
    <w:rsid w:val="6DC71376"/>
    <w:rsid w:val="6DEFC3F6"/>
    <w:rsid w:val="6DF7FFF8"/>
    <w:rsid w:val="6E13E1A7"/>
    <w:rsid w:val="6E2B9717"/>
    <w:rsid w:val="6E2CFE71"/>
    <w:rsid w:val="6E2F9DE8"/>
    <w:rsid w:val="6E31BD10"/>
    <w:rsid w:val="6E9A4D66"/>
    <w:rsid w:val="6EFA1994"/>
    <w:rsid w:val="6F6BAB48"/>
    <w:rsid w:val="6F7DC60E"/>
    <w:rsid w:val="6F95FD09"/>
    <w:rsid w:val="6FB2E874"/>
    <w:rsid w:val="6FC441C7"/>
    <w:rsid w:val="6FCA6B59"/>
    <w:rsid w:val="6FCC10D1"/>
    <w:rsid w:val="700FD8D0"/>
    <w:rsid w:val="7013C5DB"/>
    <w:rsid w:val="701FE43E"/>
    <w:rsid w:val="703E6461"/>
    <w:rsid w:val="703FD0BA"/>
    <w:rsid w:val="7043A1DE"/>
    <w:rsid w:val="706F5B94"/>
    <w:rsid w:val="70718901"/>
    <w:rsid w:val="707BA686"/>
    <w:rsid w:val="70A42C54"/>
    <w:rsid w:val="70D020A8"/>
    <w:rsid w:val="7126B381"/>
    <w:rsid w:val="712A1E23"/>
    <w:rsid w:val="712DE344"/>
    <w:rsid w:val="71513E36"/>
    <w:rsid w:val="715150F4"/>
    <w:rsid w:val="71781751"/>
    <w:rsid w:val="71CBDA38"/>
    <w:rsid w:val="71CC01C5"/>
    <w:rsid w:val="71E6BF28"/>
    <w:rsid w:val="723846D9"/>
    <w:rsid w:val="7252CD0F"/>
    <w:rsid w:val="725C3685"/>
    <w:rsid w:val="7291E136"/>
    <w:rsid w:val="72B248BE"/>
    <w:rsid w:val="72DF6544"/>
    <w:rsid w:val="72E752CA"/>
    <w:rsid w:val="73388E21"/>
    <w:rsid w:val="738E6ECA"/>
    <w:rsid w:val="73A7D52B"/>
    <w:rsid w:val="73C076F8"/>
    <w:rsid w:val="73DE0426"/>
    <w:rsid w:val="741C50A7"/>
    <w:rsid w:val="7421BC07"/>
    <w:rsid w:val="742CA7D8"/>
    <w:rsid w:val="744259F7"/>
    <w:rsid w:val="744CABEA"/>
    <w:rsid w:val="744D6A1B"/>
    <w:rsid w:val="744E191F"/>
    <w:rsid w:val="74584F93"/>
    <w:rsid w:val="74658406"/>
    <w:rsid w:val="74701FA7"/>
    <w:rsid w:val="748CDEE1"/>
    <w:rsid w:val="74AAE348"/>
    <w:rsid w:val="74ADCB63"/>
    <w:rsid w:val="74CDAE66"/>
    <w:rsid w:val="74DE6DCE"/>
    <w:rsid w:val="74EA7CC9"/>
    <w:rsid w:val="74EC41B3"/>
    <w:rsid w:val="74F077FF"/>
    <w:rsid w:val="750EDC48"/>
    <w:rsid w:val="75242DDC"/>
    <w:rsid w:val="752815B4"/>
    <w:rsid w:val="75371BE5"/>
    <w:rsid w:val="75448ACC"/>
    <w:rsid w:val="75629FF0"/>
    <w:rsid w:val="7567D574"/>
    <w:rsid w:val="75C1D078"/>
    <w:rsid w:val="75F4F518"/>
    <w:rsid w:val="7602E86E"/>
    <w:rsid w:val="76302E63"/>
    <w:rsid w:val="7639795E"/>
    <w:rsid w:val="764A3E73"/>
    <w:rsid w:val="76688A16"/>
    <w:rsid w:val="76702EE3"/>
    <w:rsid w:val="7675C5BB"/>
    <w:rsid w:val="76B719A5"/>
    <w:rsid w:val="76C44613"/>
    <w:rsid w:val="76DA99C5"/>
    <w:rsid w:val="76E05B2D"/>
    <w:rsid w:val="76E273C2"/>
    <w:rsid w:val="76E4B608"/>
    <w:rsid w:val="76ED2DF1"/>
    <w:rsid w:val="771F0170"/>
    <w:rsid w:val="77A86C5E"/>
    <w:rsid w:val="77B19524"/>
    <w:rsid w:val="77CE3078"/>
    <w:rsid w:val="780E0B0C"/>
    <w:rsid w:val="7835C746"/>
    <w:rsid w:val="7868F486"/>
    <w:rsid w:val="78953F7F"/>
    <w:rsid w:val="78ABC04E"/>
    <w:rsid w:val="78B436D6"/>
    <w:rsid w:val="78D6B0F1"/>
    <w:rsid w:val="78D6F581"/>
    <w:rsid w:val="78D91BEA"/>
    <w:rsid w:val="78DB1BC8"/>
    <w:rsid w:val="78E05B5B"/>
    <w:rsid w:val="78F9E174"/>
    <w:rsid w:val="795C62D9"/>
    <w:rsid w:val="79747B54"/>
    <w:rsid w:val="79AF4201"/>
    <w:rsid w:val="79BB6819"/>
    <w:rsid w:val="7A01A087"/>
    <w:rsid w:val="7A04C4E7"/>
    <w:rsid w:val="7A483846"/>
    <w:rsid w:val="7A6F9A8B"/>
    <w:rsid w:val="7A746A1C"/>
    <w:rsid w:val="7A993D91"/>
    <w:rsid w:val="7A9E6273"/>
    <w:rsid w:val="7AC638CE"/>
    <w:rsid w:val="7AD5AC8A"/>
    <w:rsid w:val="7AE7B276"/>
    <w:rsid w:val="7AEECD47"/>
    <w:rsid w:val="7AF8333A"/>
    <w:rsid w:val="7B0BC4A6"/>
    <w:rsid w:val="7B1D0451"/>
    <w:rsid w:val="7B421303"/>
    <w:rsid w:val="7B46A1B7"/>
    <w:rsid w:val="7B87F2B4"/>
    <w:rsid w:val="7BA185E2"/>
    <w:rsid w:val="7BAB53AF"/>
    <w:rsid w:val="7BC36D46"/>
    <w:rsid w:val="7BD3A6CE"/>
    <w:rsid w:val="7BF7268C"/>
    <w:rsid w:val="7C1C9141"/>
    <w:rsid w:val="7C30A8CA"/>
    <w:rsid w:val="7C33F1BB"/>
    <w:rsid w:val="7C8A9714"/>
    <w:rsid w:val="7C9F33FA"/>
    <w:rsid w:val="7CB97C63"/>
    <w:rsid w:val="7CCCC01B"/>
    <w:rsid w:val="7CCDBABE"/>
    <w:rsid w:val="7D0B3126"/>
    <w:rsid w:val="7D2798F4"/>
    <w:rsid w:val="7D2E8C79"/>
    <w:rsid w:val="7D4F1A82"/>
    <w:rsid w:val="7D5C68E2"/>
    <w:rsid w:val="7D77144B"/>
    <w:rsid w:val="7DB269C0"/>
    <w:rsid w:val="7DCBEF53"/>
    <w:rsid w:val="7DCDCA7F"/>
    <w:rsid w:val="7E1705AE"/>
    <w:rsid w:val="7E206A46"/>
    <w:rsid w:val="7E22E7D0"/>
    <w:rsid w:val="7E394942"/>
    <w:rsid w:val="7E53905E"/>
    <w:rsid w:val="7E68B9AA"/>
    <w:rsid w:val="7E6DFA78"/>
    <w:rsid w:val="7E7409D7"/>
    <w:rsid w:val="7E74215E"/>
    <w:rsid w:val="7EA08BE7"/>
    <w:rsid w:val="7EBD5EC9"/>
    <w:rsid w:val="7EDFA56A"/>
    <w:rsid w:val="7EEF9BEB"/>
    <w:rsid w:val="7EF9AAB3"/>
    <w:rsid w:val="7EFCCC00"/>
    <w:rsid w:val="7F0C7D43"/>
    <w:rsid w:val="7F114225"/>
    <w:rsid w:val="7F2130F9"/>
    <w:rsid w:val="7F41C69F"/>
    <w:rsid w:val="7F45AEB4"/>
    <w:rsid w:val="7F4B238C"/>
    <w:rsid w:val="7F5AEEFC"/>
    <w:rsid w:val="7F77F1A1"/>
    <w:rsid w:val="7F9B2181"/>
    <w:rsid w:val="7F9BD75E"/>
    <w:rsid w:val="7FAB0C55"/>
    <w:rsid w:val="7FB35669"/>
    <w:rsid w:val="7FC9BD32"/>
    <w:rsid w:val="7FCF9577"/>
    <w:rsid w:val="7FFF27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08831DC"/>
  <w15:chartTrackingRefBased/>
  <w15:docId w15:val="{7127EAE0-52DB-4743-A51C-502F9B659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44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44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63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0ADA"/>
    <w:pPr>
      <w:spacing w:after="0" w:line="240" w:lineRule="auto"/>
      <w:ind w:left="720"/>
      <w:contextualSpacing/>
    </w:pPr>
    <w:rPr>
      <w:rFonts w:ascii="Calibri" w:hAnsi="Calibri" w:cs="Arial"/>
      <w:szCs w:val="24"/>
    </w:rPr>
  </w:style>
  <w:style w:type="character" w:customStyle="1" w:styleId="ListParagraphChar">
    <w:name w:val="List Paragraph Char"/>
    <w:link w:val="ListParagraph"/>
    <w:uiPriority w:val="34"/>
    <w:rsid w:val="008F0ADA"/>
    <w:rPr>
      <w:rFonts w:ascii="Calibri" w:hAnsi="Calibri" w:cs="Arial"/>
      <w:szCs w:val="24"/>
    </w:rPr>
  </w:style>
  <w:style w:type="character" w:styleId="Hyperlink">
    <w:name w:val="Hyperlink"/>
    <w:uiPriority w:val="99"/>
    <w:unhideWhenUsed/>
    <w:rsid w:val="008F0ADA"/>
    <w:rPr>
      <w:color w:val="0000FF"/>
      <w:u w:val="single"/>
    </w:rPr>
  </w:style>
  <w:style w:type="paragraph" w:styleId="FootnoteText">
    <w:name w:val="footnote text"/>
    <w:basedOn w:val="Normal"/>
    <w:link w:val="FootnoteTextChar"/>
    <w:uiPriority w:val="99"/>
    <w:semiHidden/>
    <w:unhideWhenUsed/>
    <w:rsid w:val="008F0ADA"/>
    <w:pPr>
      <w:spacing w:after="0" w:line="240" w:lineRule="auto"/>
    </w:pPr>
    <w:rPr>
      <w:rFonts w:ascii="Calibri" w:hAnsi="Calibri" w:cs="Arial"/>
      <w:sz w:val="20"/>
      <w:szCs w:val="20"/>
    </w:rPr>
  </w:style>
  <w:style w:type="character" w:customStyle="1" w:styleId="FootnoteTextChar">
    <w:name w:val="Footnote Text Char"/>
    <w:basedOn w:val="DefaultParagraphFont"/>
    <w:link w:val="FootnoteText"/>
    <w:uiPriority w:val="99"/>
    <w:semiHidden/>
    <w:rsid w:val="008F0ADA"/>
    <w:rPr>
      <w:rFonts w:ascii="Calibri" w:hAnsi="Calibri" w:cs="Arial"/>
      <w:sz w:val="20"/>
      <w:szCs w:val="20"/>
    </w:rPr>
  </w:style>
  <w:style w:type="character" w:styleId="FootnoteReference">
    <w:name w:val="footnote reference"/>
    <w:basedOn w:val="DefaultParagraphFont"/>
    <w:uiPriority w:val="99"/>
    <w:unhideWhenUsed/>
    <w:rsid w:val="008F0ADA"/>
    <w:rPr>
      <w:vertAlign w:val="superscript"/>
    </w:rPr>
  </w:style>
  <w:style w:type="table" w:customStyle="1" w:styleId="TableGrid28">
    <w:name w:val="Table Grid28"/>
    <w:basedOn w:val="TableNormal"/>
    <w:next w:val="TableGrid"/>
    <w:uiPriority w:val="59"/>
    <w:rsid w:val="008F0ADA"/>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8F0ADA"/>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F0A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75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5A0"/>
  </w:style>
  <w:style w:type="paragraph" w:styleId="Footer">
    <w:name w:val="footer"/>
    <w:basedOn w:val="Normal"/>
    <w:link w:val="FooterChar"/>
    <w:uiPriority w:val="99"/>
    <w:unhideWhenUsed/>
    <w:rsid w:val="007775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5A0"/>
  </w:style>
  <w:style w:type="character" w:styleId="FollowedHyperlink">
    <w:name w:val="FollowedHyperlink"/>
    <w:basedOn w:val="DefaultParagraphFont"/>
    <w:uiPriority w:val="99"/>
    <w:semiHidden/>
    <w:unhideWhenUsed/>
    <w:rsid w:val="007775A0"/>
    <w:rPr>
      <w:color w:val="954F72" w:themeColor="followedHyperlink"/>
      <w:u w:val="single"/>
    </w:rPr>
  </w:style>
  <w:style w:type="character" w:styleId="CommentReference">
    <w:name w:val="annotation reference"/>
    <w:basedOn w:val="DefaultParagraphFont"/>
    <w:uiPriority w:val="99"/>
    <w:semiHidden/>
    <w:unhideWhenUsed/>
    <w:rsid w:val="00405FD3"/>
    <w:rPr>
      <w:sz w:val="16"/>
      <w:szCs w:val="16"/>
    </w:rPr>
  </w:style>
  <w:style w:type="paragraph" w:styleId="CommentText">
    <w:name w:val="annotation text"/>
    <w:basedOn w:val="Normal"/>
    <w:link w:val="CommentTextChar"/>
    <w:uiPriority w:val="99"/>
    <w:unhideWhenUsed/>
    <w:rsid w:val="00405FD3"/>
    <w:pPr>
      <w:spacing w:line="240" w:lineRule="auto"/>
    </w:pPr>
    <w:rPr>
      <w:sz w:val="20"/>
      <w:szCs w:val="20"/>
    </w:rPr>
  </w:style>
  <w:style w:type="character" w:customStyle="1" w:styleId="CommentTextChar">
    <w:name w:val="Comment Text Char"/>
    <w:basedOn w:val="DefaultParagraphFont"/>
    <w:link w:val="CommentText"/>
    <w:uiPriority w:val="99"/>
    <w:rsid w:val="00405FD3"/>
    <w:rPr>
      <w:sz w:val="20"/>
      <w:szCs w:val="20"/>
    </w:rPr>
  </w:style>
  <w:style w:type="paragraph" w:styleId="CommentSubject">
    <w:name w:val="annotation subject"/>
    <w:basedOn w:val="CommentText"/>
    <w:next w:val="CommentText"/>
    <w:link w:val="CommentSubjectChar"/>
    <w:uiPriority w:val="99"/>
    <w:semiHidden/>
    <w:unhideWhenUsed/>
    <w:rsid w:val="00405FD3"/>
    <w:rPr>
      <w:b/>
      <w:bCs/>
    </w:rPr>
  </w:style>
  <w:style w:type="character" w:customStyle="1" w:styleId="CommentSubjectChar">
    <w:name w:val="Comment Subject Char"/>
    <w:basedOn w:val="CommentTextChar"/>
    <w:link w:val="CommentSubject"/>
    <w:uiPriority w:val="99"/>
    <w:semiHidden/>
    <w:rsid w:val="00405FD3"/>
    <w:rPr>
      <w:b/>
      <w:bCs/>
      <w:sz w:val="20"/>
      <w:szCs w:val="20"/>
    </w:rPr>
  </w:style>
  <w:style w:type="paragraph" w:styleId="BalloonText">
    <w:name w:val="Balloon Text"/>
    <w:basedOn w:val="Normal"/>
    <w:link w:val="BalloonTextChar"/>
    <w:uiPriority w:val="99"/>
    <w:semiHidden/>
    <w:unhideWhenUsed/>
    <w:rsid w:val="00405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FD3"/>
    <w:rPr>
      <w:rFonts w:ascii="Segoe UI" w:hAnsi="Segoe UI" w:cs="Segoe UI"/>
      <w:sz w:val="18"/>
      <w:szCs w:val="18"/>
    </w:rPr>
  </w:style>
  <w:style w:type="character" w:customStyle="1" w:styleId="casenumber">
    <w:name w:val="casenumber"/>
    <w:basedOn w:val="DefaultParagraphFont"/>
    <w:rsid w:val="0058440A"/>
  </w:style>
  <w:style w:type="character" w:customStyle="1" w:styleId="description">
    <w:name w:val="description"/>
    <w:basedOn w:val="DefaultParagraphFont"/>
    <w:rsid w:val="0058440A"/>
  </w:style>
  <w:style w:type="character" w:customStyle="1" w:styleId="address">
    <w:name w:val="address"/>
    <w:basedOn w:val="DefaultParagraphFont"/>
    <w:rsid w:val="0058440A"/>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rPr>
  </w:style>
  <w:style w:type="table" w:customStyle="1" w:styleId="TableGrid112">
    <w:name w:val="Table Grid112"/>
    <w:basedOn w:val="TableNormal"/>
    <w:next w:val="TableGrid"/>
    <w:uiPriority w:val="59"/>
    <w:rsid w:val="0058440A"/>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844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844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B6398"/>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59"/>
    <w:rsid w:val="00FB6398"/>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FB6398"/>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60EAE"/>
    <w:pPr>
      <w:outlineLvl w:val="9"/>
    </w:pPr>
    <w:rPr>
      <w:lang w:val="en-US"/>
    </w:rPr>
  </w:style>
  <w:style w:type="paragraph" w:styleId="TOC1">
    <w:name w:val="toc 1"/>
    <w:basedOn w:val="Normal"/>
    <w:next w:val="Normal"/>
    <w:autoRedefine/>
    <w:uiPriority w:val="39"/>
    <w:unhideWhenUsed/>
    <w:rsid w:val="00360EAE"/>
    <w:pPr>
      <w:spacing w:after="100"/>
    </w:pPr>
  </w:style>
  <w:style w:type="paragraph" w:styleId="TOC2">
    <w:name w:val="toc 2"/>
    <w:basedOn w:val="Normal"/>
    <w:next w:val="Normal"/>
    <w:autoRedefine/>
    <w:uiPriority w:val="39"/>
    <w:unhideWhenUsed/>
    <w:rsid w:val="00360EAE"/>
    <w:pPr>
      <w:spacing w:after="100"/>
      <w:ind w:left="220"/>
    </w:pPr>
  </w:style>
  <w:style w:type="paragraph" w:styleId="TOC3">
    <w:name w:val="toc 3"/>
    <w:basedOn w:val="Normal"/>
    <w:next w:val="Normal"/>
    <w:autoRedefine/>
    <w:uiPriority w:val="39"/>
    <w:unhideWhenUsed/>
    <w:rsid w:val="00360EAE"/>
    <w:pPr>
      <w:spacing w:after="100"/>
      <w:ind w:left="440"/>
    </w:pPr>
  </w:style>
  <w:style w:type="table" w:customStyle="1" w:styleId="TableGrid29">
    <w:name w:val="Table Grid29"/>
    <w:basedOn w:val="TableNormal"/>
    <w:next w:val="TableGrid"/>
    <w:uiPriority w:val="59"/>
    <w:rsid w:val="002715BD"/>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Paragraphtext">
    <w:name w:val="bParagraph text"/>
    <w:basedOn w:val="Normal"/>
    <w:link w:val="bParagraphtextChar"/>
    <w:qFormat/>
    <w:rsid w:val="73C076F8"/>
    <w:pPr>
      <w:numPr>
        <w:numId w:val="6"/>
      </w:numPr>
      <w:tabs>
        <w:tab w:val="left" w:pos="426"/>
      </w:tabs>
      <w:spacing w:after="120"/>
      <w:ind w:left="1070"/>
    </w:pPr>
    <w:rPr>
      <w:color w:val="000000" w:themeColor="text1"/>
      <w:sz w:val="24"/>
      <w:szCs w:val="24"/>
    </w:rPr>
  </w:style>
  <w:style w:type="character" w:customStyle="1" w:styleId="bParagraphtextChar">
    <w:name w:val="bParagraph text Char"/>
    <w:basedOn w:val="DefaultParagraphFont"/>
    <w:link w:val="bParagraphtext"/>
    <w:rsid w:val="73C076F8"/>
    <w:rPr>
      <w:color w:val="000000" w:themeColor="text1"/>
      <w:sz w:val="24"/>
      <w:szCs w:val="24"/>
    </w:rPr>
  </w:style>
  <w:style w:type="paragraph" w:styleId="TOC4">
    <w:name w:val="toc 4"/>
    <w:basedOn w:val="Normal"/>
    <w:next w:val="Normal"/>
    <w:autoRedefine/>
    <w:uiPriority w:val="39"/>
    <w:unhideWhenUsed/>
    <w:rsid w:val="00427B4A"/>
    <w:pPr>
      <w:spacing w:after="100"/>
      <w:ind w:left="660"/>
    </w:pPr>
    <w:rPr>
      <w:rFonts w:eastAsiaTheme="minorEastAsia"/>
      <w:lang w:val="en-US" w:eastAsia="ja-JP"/>
    </w:rPr>
  </w:style>
  <w:style w:type="paragraph" w:styleId="TOC5">
    <w:name w:val="toc 5"/>
    <w:basedOn w:val="Normal"/>
    <w:next w:val="Normal"/>
    <w:autoRedefine/>
    <w:uiPriority w:val="39"/>
    <w:unhideWhenUsed/>
    <w:rsid w:val="00427B4A"/>
    <w:pPr>
      <w:spacing w:after="100"/>
      <w:ind w:left="880"/>
    </w:pPr>
    <w:rPr>
      <w:rFonts w:eastAsiaTheme="minorEastAsia"/>
      <w:lang w:val="en-US" w:eastAsia="ja-JP"/>
    </w:rPr>
  </w:style>
  <w:style w:type="paragraph" w:styleId="TOC6">
    <w:name w:val="toc 6"/>
    <w:basedOn w:val="Normal"/>
    <w:next w:val="Normal"/>
    <w:autoRedefine/>
    <w:uiPriority w:val="39"/>
    <w:unhideWhenUsed/>
    <w:rsid w:val="00427B4A"/>
    <w:pPr>
      <w:spacing w:after="100"/>
      <w:ind w:left="1100"/>
    </w:pPr>
    <w:rPr>
      <w:rFonts w:eastAsiaTheme="minorEastAsia"/>
      <w:lang w:val="en-US" w:eastAsia="ja-JP"/>
    </w:rPr>
  </w:style>
  <w:style w:type="paragraph" w:styleId="TOC7">
    <w:name w:val="toc 7"/>
    <w:basedOn w:val="Normal"/>
    <w:next w:val="Normal"/>
    <w:autoRedefine/>
    <w:uiPriority w:val="39"/>
    <w:unhideWhenUsed/>
    <w:rsid w:val="00427B4A"/>
    <w:pPr>
      <w:spacing w:after="100"/>
      <w:ind w:left="1320"/>
    </w:pPr>
    <w:rPr>
      <w:rFonts w:eastAsiaTheme="minorEastAsia"/>
      <w:lang w:val="en-US" w:eastAsia="ja-JP"/>
    </w:rPr>
  </w:style>
  <w:style w:type="paragraph" w:styleId="TOC8">
    <w:name w:val="toc 8"/>
    <w:basedOn w:val="Normal"/>
    <w:next w:val="Normal"/>
    <w:autoRedefine/>
    <w:uiPriority w:val="39"/>
    <w:unhideWhenUsed/>
    <w:rsid w:val="00427B4A"/>
    <w:pPr>
      <w:spacing w:after="100"/>
      <w:ind w:left="1540"/>
    </w:pPr>
    <w:rPr>
      <w:rFonts w:eastAsiaTheme="minorEastAsia"/>
      <w:lang w:val="en-US" w:eastAsia="ja-JP"/>
    </w:rPr>
  </w:style>
  <w:style w:type="paragraph" w:styleId="TOC9">
    <w:name w:val="toc 9"/>
    <w:basedOn w:val="Normal"/>
    <w:next w:val="Normal"/>
    <w:autoRedefine/>
    <w:uiPriority w:val="39"/>
    <w:unhideWhenUsed/>
    <w:rsid w:val="00427B4A"/>
    <w:pPr>
      <w:spacing w:after="100"/>
      <w:ind w:left="1760"/>
    </w:pPr>
    <w:rPr>
      <w:rFonts w:eastAsiaTheme="minorEastAsia"/>
      <w:lang w:val="en-US" w:eastAsia="ja-JP"/>
    </w:rPr>
  </w:style>
  <w:style w:type="character" w:customStyle="1" w:styleId="UnresolvedMention">
    <w:name w:val="Unresolved Mention"/>
    <w:basedOn w:val="DefaultParagraphFont"/>
    <w:uiPriority w:val="99"/>
    <w:semiHidden/>
    <w:unhideWhenUsed/>
    <w:rsid w:val="00427B4A"/>
    <w:rPr>
      <w:color w:val="605E5C"/>
      <w:shd w:val="clear" w:color="auto" w:fill="E1DFDD"/>
    </w:rPr>
  </w:style>
  <w:style w:type="paragraph" w:customStyle="1" w:styleId="paragraph">
    <w:name w:val="paragraph"/>
    <w:basedOn w:val="Normal"/>
    <w:rsid w:val="000E13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E1360"/>
  </w:style>
  <w:style w:type="table" w:customStyle="1" w:styleId="TableGrid30">
    <w:name w:val="Table Grid30"/>
    <w:basedOn w:val="TableNormal"/>
    <w:next w:val="TableGrid"/>
    <w:uiPriority w:val="59"/>
    <w:rsid w:val="00F2387D"/>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97152"/>
    <w:rPr>
      <w:i/>
      <w:iCs/>
    </w:rPr>
  </w:style>
  <w:style w:type="paragraph" w:styleId="NoSpacing">
    <w:name w:val="No Spacing"/>
    <w:uiPriority w:val="1"/>
    <w:qFormat/>
    <w:rsid w:val="006E46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610468">
      <w:bodyDiv w:val="1"/>
      <w:marLeft w:val="0"/>
      <w:marRight w:val="0"/>
      <w:marTop w:val="0"/>
      <w:marBottom w:val="0"/>
      <w:divBdr>
        <w:top w:val="none" w:sz="0" w:space="0" w:color="auto"/>
        <w:left w:val="none" w:sz="0" w:space="0" w:color="auto"/>
        <w:bottom w:val="none" w:sz="0" w:space="0" w:color="auto"/>
        <w:right w:val="none" w:sz="0" w:space="0" w:color="auto"/>
      </w:divBdr>
    </w:div>
    <w:div w:id="987824669">
      <w:bodyDiv w:val="1"/>
      <w:marLeft w:val="0"/>
      <w:marRight w:val="0"/>
      <w:marTop w:val="0"/>
      <w:marBottom w:val="0"/>
      <w:divBdr>
        <w:top w:val="none" w:sz="0" w:space="0" w:color="auto"/>
        <w:left w:val="none" w:sz="0" w:space="0" w:color="auto"/>
        <w:bottom w:val="none" w:sz="0" w:space="0" w:color="auto"/>
        <w:right w:val="none" w:sz="0" w:space="0" w:color="auto"/>
      </w:divBdr>
    </w:div>
    <w:div w:id="1013610934">
      <w:bodyDiv w:val="1"/>
      <w:marLeft w:val="0"/>
      <w:marRight w:val="0"/>
      <w:marTop w:val="0"/>
      <w:marBottom w:val="0"/>
      <w:divBdr>
        <w:top w:val="none" w:sz="0" w:space="0" w:color="auto"/>
        <w:left w:val="none" w:sz="0" w:space="0" w:color="auto"/>
        <w:bottom w:val="none" w:sz="0" w:space="0" w:color="auto"/>
        <w:right w:val="none" w:sz="0" w:space="0" w:color="auto"/>
      </w:divBdr>
    </w:div>
    <w:div w:id="1463839204">
      <w:bodyDiv w:val="1"/>
      <w:marLeft w:val="0"/>
      <w:marRight w:val="0"/>
      <w:marTop w:val="0"/>
      <w:marBottom w:val="0"/>
      <w:divBdr>
        <w:top w:val="none" w:sz="0" w:space="0" w:color="auto"/>
        <w:left w:val="none" w:sz="0" w:space="0" w:color="auto"/>
        <w:bottom w:val="none" w:sz="0" w:space="0" w:color="auto"/>
        <w:right w:val="none" w:sz="0" w:space="0" w:color="auto"/>
      </w:divBdr>
    </w:div>
    <w:div w:id="161528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xford.gov.uk/planningpolicy" TargetMode="External"/><Relationship Id="rId18" Type="http://schemas.openxmlformats.org/officeDocument/2006/relationships/chart" Target="charts/chart4.xml"/><Relationship Id="rId26" Type="http://schemas.openxmlformats.org/officeDocument/2006/relationships/hyperlink" Target="https://www.oxford.gov.uk/downloads/download/1176/oxford_local_plan_2016-2036" TargetMode="External"/><Relationship Id="rId39" Type="http://schemas.openxmlformats.org/officeDocument/2006/relationships/hyperlink" Target="https://www.oxford.gov.uk/downloads/file/7499/tan_4_community_pubs" TargetMode="External"/><Relationship Id="rId21" Type="http://schemas.openxmlformats.org/officeDocument/2006/relationships/hyperlink" Target="https://www.gov.uk/government/publications/housing-delivery-test-2020-measurement" TargetMode="External"/><Relationship Id="rId34" Type="http://schemas.openxmlformats.org/officeDocument/2006/relationships/hyperlink" Target="https://www.oxford.gov.uk/downloads/download/153/oxpens_masterplan_spd" TargetMode="External"/><Relationship Id="rId42" Type="http://schemas.openxmlformats.org/officeDocument/2006/relationships/hyperlink" Target="https://www.oxford.gov.uk/downloads/file/7509/tan_7_high_buildings" TargetMode="External"/><Relationship Id="rId47" Type="http://schemas.openxmlformats.org/officeDocument/2006/relationships/hyperlink" Target="https://www.oxford.gov.uk/downloads/file/7551/tan_15_heritage_and_sustainability_guidance_for_householders" TargetMode="External"/><Relationship Id="rId50" Type="http://schemas.openxmlformats.org/officeDocument/2006/relationships/hyperlink" Target="https://www.oxford.gov.uk/info/20067/planning_policy/761/local_development_scheme"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chart" Target="charts/chart3.xml"/><Relationship Id="rId25" Type="http://schemas.openxmlformats.org/officeDocument/2006/relationships/image" Target="media/image2.png"/><Relationship Id="rId33" Type="http://schemas.openxmlformats.org/officeDocument/2006/relationships/hyperlink" Target="https://www.oxford.gov.uk/downloads/download/154/jericho_canalside_spd" TargetMode="External"/><Relationship Id="rId38" Type="http://schemas.openxmlformats.org/officeDocument/2006/relationships/hyperlink" Target="https://www.oxford.gov.uk/downloads/file/7502/tan_3_waste_storage" TargetMode="External"/><Relationship Id="rId46" Type="http://schemas.openxmlformats.org/officeDocument/2006/relationships/hyperlink" Target="https://www.oxford.gov.uk/downloads/file/7606/tan_14_sustainable_design_and_construction"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www.oxford.gov.uk/info/20069/neighbourhood_planning/1116/headington_neighbourhood_plan" TargetMode="External"/><Relationship Id="rId41" Type="http://schemas.openxmlformats.org/officeDocument/2006/relationships/hyperlink" Target="https://www.oxford.gov.uk/downloads/file/7503/tan_6_residential_basement_development"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9.xml"/><Relationship Id="rId32" Type="http://schemas.openxmlformats.org/officeDocument/2006/relationships/hyperlink" Target="https://www.oxford.gov.uk/downloads/file/1466/diamond_place_spd" TargetMode="External"/><Relationship Id="rId37" Type="http://schemas.openxmlformats.org/officeDocument/2006/relationships/hyperlink" Target="https://www.oxford.gov.uk/downloads/file/7570/tan_2_employment_and_skills" TargetMode="External"/><Relationship Id="rId40" Type="http://schemas.openxmlformats.org/officeDocument/2006/relationships/hyperlink" Target="https://www.oxford.gov.uk/downloads/file/7562/tan_5_health_impact_assessments" TargetMode="External"/><Relationship Id="rId45" Type="http://schemas.openxmlformats.org/officeDocument/2006/relationships/hyperlink" Target="https://www.oxford.gov.uk/downloads/file/7673/tan_10_shopfronts_and_signage" TargetMode="External"/><Relationship Id="rId53"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s://www.oxford.gov.uk/downloads/file/1445/barton_area_action_plan" TargetMode="External"/><Relationship Id="rId36" Type="http://schemas.openxmlformats.org/officeDocument/2006/relationships/hyperlink" Target="https://www.oxford.gov.uk/downloads/file/7500/tan_1_housing" TargetMode="External"/><Relationship Id="rId49" Type="http://schemas.openxmlformats.org/officeDocument/2006/relationships/hyperlink" Target="https://www.oxford.gov.uk/downloads/file/6329/cil_final_charging_schedule" TargetMode="External"/><Relationship Id="rId57" Type="http://schemas.openxmlformats.org/officeDocument/2006/relationships/theme" Target="theme/theme1.xml"/><Relationship Id="rId61" Type="http://schemas.microsoft.com/office/2016/09/relationships/commentsIds" Target="commentsIds.xml"/><Relationship Id="R320b73f590f24f81"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https://www.oxford.gov.uk/info/20069/neighbourhood_planning/1208/wolvercote_neighbourhood_plan" TargetMode="External"/><Relationship Id="rId44" Type="http://schemas.openxmlformats.org/officeDocument/2006/relationships/hyperlink" Target="https://www.oxford.gov.uk/downloads/file/7501/tan_9_green_spaces" TargetMode="External"/><Relationship Id="rId52" Type="http://schemas.openxmlformats.org/officeDocument/2006/relationships/image" Target="media/image3.emf"/><Relationship Id="rId60"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occ.local\data\Planning\Planning%20-%20Policy\Annual%20Monitoring%20Report\AMR2021\03%20AMR%20Document\www.oxford.gov.uk\lds" TargetMode="External"/><Relationship Id="rId22" Type="http://schemas.openxmlformats.org/officeDocument/2006/relationships/chart" Target="charts/chart7.xml"/><Relationship Id="rId27" Type="http://schemas.openxmlformats.org/officeDocument/2006/relationships/hyperlink" Target="https://www.oxford.gov.uk/northerngateway" TargetMode="External"/><Relationship Id="rId30" Type="http://schemas.openxmlformats.org/officeDocument/2006/relationships/hyperlink" Target="https://www.oxford.gov.uk/info/20069/neighbourhood_planning/1209/summertown_and_st_margarets_neighbourhood_plan" TargetMode="External"/><Relationship Id="rId35" Type="http://schemas.openxmlformats.org/officeDocument/2006/relationships/hyperlink" Target="https://www.oxford.gov.uk/downloads/download/882/oxford_station_spd" TargetMode="External"/><Relationship Id="rId43" Type="http://schemas.openxmlformats.org/officeDocument/2006/relationships/hyperlink" Target="https://www.oxford.gov.uk/downloads/file/7550/tan_8_biodiversity" TargetMode="External"/><Relationship Id="rId48" Type="http://schemas.openxmlformats.org/officeDocument/2006/relationships/hyperlink" Target="https://www.oxford.gov.uk/info/20067/planning_policy/746/annual_monitoring_report"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oxford.gov.uk/downloads/file/1474/statement_of_community_involvemen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oxford.gov.uk/downloads/file/7428/air_quality_action_plan_2021-2025" TargetMode="External"/><Relationship Id="rId3" Type="http://schemas.openxmlformats.org/officeDocument/2006/relationships/hyperlink" Target="https://www.planningportal.co.uk/info/200130/common_projects/9/change_of_use" TargetMode="External"/><Relationship Id="rId7" Type="http://schemas.openxmlformats.org/officeDocument/2006/relationships/hyperlink" Target="https://www.gov.uk/government/publications/environment-agency-objections-to-planning-on-the-basis-of-flood-risk" TargetMode="External"/><Relationship Id="rId2" Type="http://schemas.openxmlformats.org/officeDocument/2006/relationships/hyperlink" Target="https://www.oxford.gov.uk/downloads/file/5568/com1_-_duty_to_cooperate_statement" TargetMode="External"/><Relationship Id="rId1" Type="http://schemas.openxmlformats.org/officeDocument/2006/relationships/hyperlink" Target="http://www.oxford.gov.uk/info/20187/community_infrastructure_levy/757/what_the_community_infrastructure_levy_will_be_spent_on" TargetMode="External"/><Relationship Id="rId6" Type="http://schemas.openxmlformats.org/officeDocument/2006/relationships/hyperlink" Target="http://insight.oxfordshire.gov.uk/cms/joint-strategic-needs-assessment" TargetMode="External"/><Relationship Id="rId11" Type="http://schemas.openxmlformats.org/officeDocument/2006/relationships/hyperlink" Target="https://www.oxford.gov.uk/downloads/file/7707/archaeological_annual_monitoring_statement_2020" TargetMode="External"/><Relationship Id="rId5" Type="http://schemas.openxmlformats.org/officeDocument/2006/relationships/hyperlink" Target="https://www.gov.uk/government/publications/housing-delivery-test-measurement-rule-book" TargetMode="External"/><Relationship Id="rId10" Type="http://schemas.openxmlformats.org/officeDocument/2006/relationships/hyperlink" Target="https://www.oxford.gov.uk/downloads/file/7320/oxford_source_apportionment_study" TargetMode="External"/><Relationship Id="rId4" Type="http://schemas.openxmlformats.org/officeDocument/2006/relationships/hyperlink" Target="https://www.gov.uk/guidance/housing-supply-and-delivery" TargetMode="External"/><Relationship Id="rId9" Type="http://schemas.openxmlformats.org/officeDocument/2006/relationships/hyperlink" Target="https://www.oxford.gov.uk/downloads/file/7612/air_quality_annual_status_report_20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occ.local\data\Planning\Planning%20-%20Policy\Annual%20Monitoring%20Report\AMR2021\02%20Monitoring%20Data\Student%20data%20from%20Universities\OBU%20+%20OU%20students%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occ.local\data\Planning\Planning%20-%20Policy\Annual%20Monitoring%20Report\AMR2021\02%20Monitoring%20Data\Student%20data%20from%20Universities\OBU%20+%20OU%20students%20graph.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tton\Documents\Alex\AMR\Graphs%20monthly%20footfall%20data%20A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tton\Documents\Alex\AMR\Graphs%20monthly%20footfall%20data%20A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tton\Documents\Alex\AMR\2020%20use%20class%20graphs%20AS.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tton\Documents\Alex\AMR\2020%20use%20class%20graphs%20A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occ.local\data\Planning\Planning%20-%20Policy\Annual%20Monitoring%20Report\AMR2021\02%20Monitoring%20Data\Data%20for%20AMR%20Figures%20and%20Graphs%20AS.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occ.local\data\Planning\Planning%20-%20Policy\Annual%20Monitoring%20Report\AMR2021\02%20Monitoring%20Data\Data%20for%20AMR%20Figures%20and%20Graphs.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occ.local\data\Planning\Planning%20-%20Policy\Annual%20Monitoring%20Report\AMR2021\02%20Monitoring%20Data\Data%20for%20AMR%20Figures%20and%20Graph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'Uni of'!$B$1</c:f>
              <c:strCache>
                <c:ptCount val="1"/>
                <c:pt idx="0">
                  <c:v>Number of students living outsite university provided accomodation</c:v>
                </c:pt>
              </c:strCache>
            </c:strRef>
          </c:tx>
          <c:invertIfNegative val="0"/>
          <c:dLbls>
            <c:dLbl>
              <c:idx val="0"/>
              <c:layout>
                <c:manualLayout>
                  <c:x val="0"/>
                  <c:y val="1.443711427963396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443711427963400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622915017834678E-17"/>
                  <c:y val="1.894161878413851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894161878413838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443711427963396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1245830035669357E-17"/>
                  <c:y val="1.8941618784138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1245830035669357E-17"/>
                  <c:y val="2.344612328864297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1.443711427963396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6249166007133871E-16"/>
                  <c:y val="1.8941618784138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'Uni of'!$A$3:$A$11</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'Uni of'!$B$3:$B$11</c:f>
              <c:numCache>
                <c:formatCode>General</c:formatCode>
                <c:ptCount val="9"/>
                <c:pt idx="0">
                  <c:v>3508</c:v>
                </c:pt>
                <c:pt idx="1">
                  <c:v>3020</c:v>
                </c:pt>
                <c:pt idx="2">
                  <c:v>2910</c:v>
                </c:pt>
                <c:pt idx="3">
                  <c:v>2932</c:v>
                </c:pt>
                <c:pt idx="4">
                  <c:v>2777</c:v>
                </c:pt>
                <c:pt idx="5">
                  <c:v>3508</c:v>
                </c:pt>
                <c:pt idx="6">
                  <c:v>2703</c:v>
                </c:pt>
                <c:pt idx="7">
                  <c:v>2114</c:v>
                </c:pt>
                <c:pt idx="8">
                  <c:v>1009</c:v>
                </c:pt>
              </c:numCache>
            </c:numRef>
          </c:val>
        </c:ser>
        <c:dLbls>
          <c:showLegendKey val="0"/>
          <c:showVal val="0"/>
          <c:showCatName val="0"/>
          <c:showSerName val="0"/>
          <c:showPercent val="0"/>
          <c:showBubbleSize val="0"/>
        </c:dLbls>
        <c:gapWidth val="150"/>
        <c:axId val="184938656"/>
        <c:axId val="184940224"/>
      </c:barChart>
      <c:catAx>
        <c:axId val="184938656"/>
        <c:scaling>
          <c:orientation val="minMax"/>
        </c:scaling>
        <c:delete val="0"/>
        <c:axPos val="b"/>
        <c:title>
          <c:tx>
            <c:rich>
              <a:bodyPr/>
              <a:lstStyle/>
              <a:p>
                <a:pPr>
                  <a:defRPr/>
                </a:pPr>
                <a:r>
                  <a:rPr lang="en-US"/>
                  <a:t>Monitoring Year</a:t>
                </a:r>
              </a:p>
            </c:rich>
          </c:tx>
          <c:layout/>
          <c:overlay val="0"/>
        </c:title>
        <c:numFmt formatCode="General" sourceLinked="0"/>
        <c:majorTickMark val="out"/>
        <c:minorTickMark val="none"/>
        <c:tickLblPos val="nextTo"/>
        <c:crossAx val="184940224"/>
        <c:crosses val="autoZero"/>
        <c:auto val="1"/>
        <c:lblAlgn val="ctr"/>
        <c:lblOffset val="100"/>
        <c:noMultiLvlLbl val="0"/>
      </c:catAx>
      <c:valAx>
        <c:axId val="184940224"/>
        <c:scaling>
          <c:orientation val="minMax"/>
        </c:scaling>
        <c:delete val="0"/>
        <c:axPos val="l"/>
        <c:majorGridlines/>
        <c:title>
          <c:tx>
            <c:rich>
              <a:bodyPr rot="-5400000" vert="horz"/>
              <a:lstStyle/>
              <a:p>
                <a:pPr>
                  <a:defRPr/>
                </a:pPr>
                <a:r>
                  <a:rPr lang="en-US"/>
                  <a:t>Number of students outside university provided accomodation</a:t>
                </a:r>
              </a:p>
            </c:rich>
          </c:tx>
          <c:layout/>
          <c:overlay val="0"/>
        </c:title>
        <c:numFmt formatCode="General" sourceLinked="1"/>
        <c:majorTickMark val="out"/>
        <c:minorTickMark val="none"/>
        <c:tickLblPos val="nextTo"/>
        <c:crossAx val="1849386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Brookes!$A$2:$A$11</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Brookes!$B$2:$B$11</c:f>
              <c:numCache>
                <c:formatCode>General</c:formatCode>
                <c:ptCount val="9"/>
                <c:pt idx="0">
                  <c:v>2836</c:v>
                </c:pt>
                <c:pt idx="1">
                  <c:v>3072</c:v>
                </c:pt>
                <c:pt idx="2">
                  <c:v>3451</c:v>
                </c:pt>
                <c:pt idx="3">
                  <c:v>3747</c:v>
                </c:pt>
                <c:pt idx="4">
                  <c:v>4180</c:v>
                </c:pt>
                <c:pt idx="5">
                  <c:v>4089</c:v>
                </c:pt>
                <c:pt idx="6">
                  <c:v>4079</c:v>
                </c:pt>
                <c:pt idx="7">
                  <c:v>3845</c:v>
                </c:pt>
                <c:pt idx="8">
                  <c:v>2873</c:v>
                </c:pt>
              </c:numCache>
            </c:numRef>
          </c:val>
        </c:ser>
        <c:dLbls>
          <c:showLegendKey val="0"/>
          <c:showVal val="0"/>
          <c:showCatName val="0"/>
          <c:showSerName val="0"/>
          <c:showPercent val="0"/>
          <c:showBubbleSize val="0"/>
        </c:dLbls>
        <c:gapWidth val="150"/>
        <c:axId val="184941792"/>
        <c:axId val="184942184"/>
      </c:barChart>
      <c:catAx>
        <c:axId val="184941792"/>
        <c:scaling>
          <c:orientation val="minMax"/>
        </c:scaling>
        <c:delete val="0"/>
        <c:axPos val="b"/>
        <c:title>
          <c:tx>
            <c:rich>
              <a:bodyPr/>
              <a:lstStyle/>
              <a:p>
                <a:pPr>
                  <a:defRPr/>
                </a:pPr>
                <a:r>
                  <a:rPr lang="en-GB"/>
                  <a:t>Monitoring Year</a:t>
                </a:r>
              </a:p>
            </c:rich>
          </c:tx>
          <c:layout/>
          <c:overlay val="0"/>
        </c:title>
        <c:numFmt formatCode="General" sourceLinked="0"/>
        <c:majorTickMark val="none"/>
        <c:minorTickMark val="none"/>
        <c:tickLblPos val="nextTo"/>
        <c:crossAx val="184942184"/>
        <c:crosses val="autoZero"/>
        <c:auto val="1"/>
        <c:lblAlgn val="ctr"/>
        <c:lblOffset val="100"/>
        <c:noMultiLvlLbl val="0"/>
      </c:catAx>
      <c:valAx>
        <c:axId val="184942184"/>
        <c:scaling>
          <c:orientation val="minMax"/>
        </c:scaling>
        <c:delete val="0"/>
        <c:axPos val="l"/>
        <c:majorGridlines/>
        <c:title>
          <c:tx>
            <c:rich>
              <a:bodyPr rot="-5400000" vert="horz"/>
              <a:lstStyle/>
              <a:p>
                <a:pPr>
                  <a:defRPr/>
                </a:pPr>
                <a:r>
                  <a:rPr lang="en-GB"/>
                  <a:t>Number of students outside university provided</a:t>
                </a:r>
                <a:r>
                  <a:rPr lang="en-GB" baseline="0"/>
                  <a:t> accommodation</a:t>
                </a:r>
                <a:endParaRPr lang="en-GB"/>
              </a:p>
            </c:rich>
          </c:tx>
          <c:layout>
            <c:manualLayout>
              <c:xMode val="edge"/>
              <c:yMode val="edge"/>
              <c:x val="2.8746896641839801E-2"/>
              <c:y val="0.20699658459208023"/>
            </c:manualLayout>
          </c:layout>
          <c:overlay val="0"/>
        </c:title>
        <c:numFmt formatCode="General" sourceLinked="1"/>
        <c:majorTickMark val="out"/>
        <c:minorTickMark val="none"/>
        <c:tickLblPos val="nextTo"/>
        <c:crossAx val="1849417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Sheet1!$D$4</c:f>
              <c:strCache>
                <c:ptCount val="1"/>
                <c:pt idx="0">
                  <c:v>April </c:v>
                </c:pt>
              </c:strCache>
            </c:strRef>
          </c:tx>
          <c:spPr>
            <a:solidFill>
              <a:schemeClr val="accent1"/>
            </a:solidFill>
            <a:ln>
              <a:noFill/>
            </a:ln>
            <a:effectLst/>
          </c:spPr>
          <c:invertIfNegative val="0"/>
          <c:cat>
            <c:strRef>
              <c:f>Sheet1!$E$3</c:f>
              <c:strCache>
                <c:ptCount val="1"/>
                <c:pt idx="0">
                  <c:v>Percentage of mean</c:v>
                </c:pt>
              </c:strCache>
            </c:strRef>
          </c:cat>
          <c:val>
            <c:numRef>
              <c:f>Sheet1!$E$4</c:f>
              <c:numCache>
                <c:formatCode>0.00%</c:formatCode>
                <c:ptCount val="1"/>
                <c:pt idx="0">
                  <c:v>-0.713752661533684</c:v>
                </c:pt>
              </c:numCache>
            </c:numRef>
          </c:val>
          <c:extLst xmlns:c16r2="http://schemas.microsoft.com/office/drawing/2015/06/chart">
            <c:ext xmlns:c16="http://schemas.microsoft.com/office/drawing/2014/chart" uri="{C3380CC4-5D6E-409C-BE32-E72D297353CC}">
              <c16:uniqueId val="{00000000-D4A2-4493-BF90-CDFCD6DBA160}"/>
            </c:ext>
          </c:extLst>
        </c:ser>
        <c:ser>
          <c:idx val="1"/>
          <c:order val="1"/>
          <c:tx>
            <c:strRef>
              <c:f>Sheet1!$D$5</c:f>
              <c:strCache>
                <c:ptCount val="1"/>
                <c:pt idx="0">
                  <c:v>May </c:v>
                </c:pt>
              </c:strCache>
            </c:strRef>
          </c:tx>
          <c:spPr>
            <a:solidFill>
              <a:schemeClr val="accent2"/>
            </a:solidFill>
            <a:ln>
              <a:noFill/>
            </a:ln>
            <a:effectLst/>
          </c:spPr>
          <c:invertIfNegative val="0"/>
          <c:cat>
            <c:strRef>
              <c:f>Sheet1!$E$3</c:f>
              <c:strCache>
                <c:ptCount val="1"/>
                <c:pt idx="0">
                  <c:v>Percentage of mean</c:v>
                </c:pt>
              </c:strCache>
            </c:strRef>
          </c:cat>
          <c:val>
            <c:numRef>
              <c:f>Sheet1!$E$5</c:f>
              <c:numCache>
                <c:formatCode>0.00%</c:formatCode>
                <c:ptCount val="1"/>
                <c:pt idx="0">
                  <c:v>-0.63403824810159015</c:v>
                </c:pt>
              </c:numCache>
            </c:numRef>
          </c:val>
          <c:extLst xmlns:c16r2="http://schemas.microsoft.com/office/drawing/2015/06/chart">
            <c:ext xmlns:c16="http://schemas.microsoft.com/office/drawing/2014/chart" uri="{C3380CC4-5D6E-409C-BE32-E72D297353CC}">
              <c16:uniqueId val="{00000001-D4A2-4493-BF90-CDFCD6DBA160}"/>
            </c:ext>
          </c:extLst>
        </c:ser>
        <c:ser>
          <c:idx val="2"/>
          <c:order val="2"/>
          <c:tx>
            <c:strRef>
              <c:f>Sheet1!$D$6</c:f>
              <c:strCache>
                <c:ptCount val="1"/>
                <c:pt idx="0">
                  <c:v>June</c:v>
                </c:pt>
              </c:strCache>
            </c:strRef>
          </c:tx>
          <c:spPr>
            <a:solidFill>
              <a:schemeClr val="accent3"/>
            </a:solidFill>
            <a:ln>
              <a:noFill/>
            </a:ln>
            <a:effectLst/>
          </c:spPr>
          <c:invertIfNegative val="0"/>
          <c:cat>
            <c:strRef>
              <c:f>Sheet1!$E$3</c:f>
              <c:strCache>
                <c:ptCount val="1"/>
                <c:pt idx="0">
                  <c:v>Percentage of mean</c:v>
                </c:pt>
              </c:strCache>
            </c:strRef>
          </c:cat>
          <c:val>
            <c:numRef>
              <c:f>Sheet1!$E$6</c:f>
              <c:numCache>
                <c:formatCode>0.00%</c:formatCode>
                <c:ptCount val="1"/>
                <c:pt idx="0">
                  <c:v>-0.25694366112844852</c:v>
                </c:pt>
              </c:numCache>
            </c:numRef>
          </c:val>
          <c:extLst xmlns:c16r2="http://schemas.microsoft.com/office/drawing/2015/06/chart">
            <c:ext xmlns:c16="http://schemas.microsoft.com/office/drawing/2014/chart" uri="{C3380CC4-5D6E-409C-BE32-E72D297353CC}">
              <c16:uniqueId val="{00000002-D4A2-4493-BF90-CDFCD6DBA160}"/>
            </c:ext>
          </c:extLst>
        </c:ser>
        <c:ser>
          <c:idx val="3"/>
          <c:order val="3"/>
          <c:tx>
            <c:strRef>
              <c:f>Sheet1!$D$7</c:f>
              <c:strCache>
                <c:ptCount val="1"/>
                <c:pt idx="0">
                  <c:v>July</c:v>
                </c:pt>
              </c:strCache>
            </c:strRef>
          </c:tx>
          <c:spPr>
            <a:solidFill>
              <a:schemeClr val="accent4"/>
            </a:solidFill>
            <a:ln>
              <a:noFill/>
            </a:ln>
            <a:effectLst/>
          </c:spPr>
          <c:invertIfNegative val="0"/>
          <c:cat>
            <c:strRef>
              <c:f>Sheet1!$E$3</c:f>
              <c:strCache>
                <c:ptCount val="1"/>
                <c:pt idx="0">
                  <c:v>Percentage of mean</c:v>
                </c:pt>
              </c:strCache>
            </c:strRef>
          </c:cat>
          <c:val>
            <c:numRef>
              <c:f>Sheet1!$E$7</c:f>
              <c:numCache>
                <c:formatCode>0.00%</c:formatCode>
                <c:ptCount val="1"/>
                <c:pt idx="0">
                  <c:v>0.20741023894967417</c:v>
                </c:pt>
              </c:numCache>
            </c:numRef>
          </c:val>
          <c:extLst xmlns:c16r2="http://schemas.microsoft.com/office/drawing/2015/06/chart">
            <c:ext xmlns:c16="http://schemas.microsoft.com/office/drawing/2014/chart" uri="{C3380CC4-5D6E-409C-BE32-E72D297353CC}">
              <c16:uniqueId val="{00000003-D4A2-4493-BF90-CDFCD6DBA160}"/>
            </c:ext>
          </c:extLst>
        </c:ser>
        <c:ser>
          <c:idx val="4"/>
          <c:order val="4"/>
          <c:tx>
            <c:strRef>
              <c:f>Sheet1!$D$8</c:f>
              <c:strCache>
                <c:ptCount val="1"/>
                <c:pt idx="0">
                  <c:v>August</c:v>
                </c:pt>
              </c:strCache>
            </c:strRef>
          </c:tx>
          <c:spPr>
            <a:solidFill>
              <a:schemeClr val="accent5"/>
            </a:solidFill>
            <a:ln>
              <a:noFill/>
            </a:ln>
            <a:effectLst/>
          </c:spPr>
          <c:invertIfNegative val="0"/>
          <c:cat>
            <c:strRef>
              <c:f>Sheet1!$E$3</c:f>
              <c:strCache>
                <c:ptCount val="1"/>
                <c:pt idx="0">
                  <c:v>Percentage of mean</c:v>
                </c:pt>
              </c:strCache>
            </c:strRef>
          </c:cat>
          <c:val>
            <c:numRef>
              <c:f>Sheet1!$E$8</c:f>
              <c:numCache>
                <c:formatCode>0.00%</c:formatCode>
                <c:ptCount val="1"/>
                <c:pt idx="0">
                  <c:v>0.49495196358172455</c:v>
                </c:pt>
              </c:numCache>
            </c:numRef>
          </c:val>
          <c:extLst xmlns:c16r2="http://schemas.microsoft.com/office/drawing/2015/06/chart">
            <c:ext xmlns:c16="http://schemas.microsoft.com/office/drawing/2014/chart" uri="{C3380CC4-5D6E-409C-BE32-E72D297353CC}">
              <c16:uniqueId val="{00000004-D4A2-4493-BF90-CDFCD6DBA160}"/>
            </c:ext>
          </c:extLst>
        </c:ser>
        <c:ser>
          <c:idx val="5"/>
          <c:order val="5"/>
          <c:tx>
            <c:strRef>
              <c:f>Sheet1!$D$9</c:f>
              <c:strCache>
                <c:ptCount val="1"/>
                <c:pt idx="0">
                  <c:v>September</c:v>
                </c:pt>
              </c:strCache>
            </c:strRef>
          </c:tx>
          <c:spPr>
            <a:solidFill>
              <a:schemeClr val="accent6"/>
            </a:solidFill>
            <a:ln>
              <a:noFill/>
            </a:ln>
            <a:effectLst/>
          </c:spPr>
          <c:invertIfNegative val="0"/>
          <c:cat>
            <c:strRef>
              <c:f>Sheet1!$E$3</c:f>
              <c:strCache>
                <c:ptCount val="1"/>
                <c:pt idx="0">
                  <c:v>Percentage of mean</c:v>
                </c:pt>
              </c:strCache>
            </c:strRef>
          </c:cat>
          <c:val>
            <c:numRef>
              <c:f>Sheet1!$E$9</c:f>
              <c:numCache>
                <c:formatCode>0.00%</c:formatCode>
                <c:ptCount val="1"/>
                <c:pt idx="0">
                  <c:v>0.62964053803016562</c:v>
                </c:pt>
              </c:numCache>
            </c:numRef>
          </c:val>
          <c:extLst xmlns:c16r2="http://schemas.microsoft.com/office/drawing/2015/06/chart">
            <c:ext xmlns:c16="http://schemas.microsoft.com/office/drawing/2014/chart" uri="{C3380CC4-5D6E-409C-BE32-E72D297353CC}">
              <c16:uniqueId val="{00000005-D4A2-4493-BF90-CDFCD6DBA160}"/>
            </c:ext>
          </c:extLst>
        </c:ser>
        <c:ser>
          <c:idx val="6"/>
          <c:order val="6"/>
          <c:tx>
            <c:strRef>
              <c:f>Sheet1!$D$10</c:f>
              <c:strCache>
                <c:ptCount val="1"/>
                <c:pt idx="0">
                  <c:v>October</c:v>
                </c:pt>
              </c:strCache>
            </c:strRef>
          </c:tx>
          <c:spPr>
            <a:solidFill>
              <a:schemeClr val="accent1">
                <a:lumMod val="60000"/>
              </a:schemeClr>
            </a:solidFill>
            <a:ln>
              <a:noFill/>
            </a:ln>
            <a:effectLst/>
          </c:spPr>
          <c:invertIfNegative val="0"/>
          <c:cat>
            <c:strRef>
              <c:f>Sheet1!$E$3</c:f>
              <c:strCache>
                <c:ptCount val="1"/>
                <c:pt idx="0">
                  <c:v>Percentage of mean</c:v>
                </c:pt>
              </c:strCache>
            </c:strRef>
          </c:cat>
          <c:val>
            <c:numRef>
              <c:f>Sheet1!$E$10</c:f>
              <c:numCache>
                <c:formatCode>0.00%</c:formatCode>
                <c:ptCount val="1"/>
                <c:pt idx="0">
                  <c:v>0.75585258898121566</c:v>
                </c:pt>
              </c:numCache>
            </c:numRef>
          </c:val>
          <c:extLst xmlns:c16r2="http://schemas.microsoft.com/office/drawing/2015/06/chart">
            <c:ext xmlns:c16="http://schemas.microsoft.com/office/drawing/2014/chart" uri="{C3380CC4-5D6E-409C-BE32-E72D297353CC}">
              <c16:uniqueId val="{00000006-D4A2-4493-BF90-CDFCD6DBA160}"/>
            </c:ext>
          </c:extLst>
        </c:ser>
        <c:ser>
          <c:idx val="7"/>
          <c:order val="7"/>
          <c:tx>
            <c:strRef>
              <c:f>Sheet1!$D$11</c:f>
              <c:strCache>
                <c:ptCount val="1"/>
                <c:pt idx="0">
                  <c:v>November</c:v>
                </c:pt>
              </c:strCache>
            </c:strRef>
          </c:tx>
          <c:spPr>
            <a:solidFill>
              <a:schemeClr val="accent2">
                <a:lumMod val="60000"/>
              </a:schemeClr>
            </a:solidFill>
            <a:ln>
              <a:noFill/>
            </a:ln>
            <a:effectLst/>
          </c:spPr>
          <c:invertIfNegative val="0"/>
          <c:cat>
            <c:strRef>
              <c:f>Sheet1!$E$3</c:f>
              <c:strCache>
                <c:ptCount val="1"/>
                <c:pt idx="0">
                  <c:v>Percentage of mean</c:v>
                </c:pt>
              </c:strCache>
            </c:strRef>
          </c:cat>
          <c:val>
            <c:numRef>
              <c:f>Sheet1!$E$11</c:f>
              <c:numCache>
                <c:formatCode>0.00%</c:formatCode>
                <c:ptCount val="1"/>
                <c:pt idx="0">
                  <c:v>-1.1162078871913601E-2</c:v>
                </c:pt>
              </c:numCache>
            </c:numRef>
          </c:val>
          <c:extLst xmlns:c16r2="http://schemas.microsoft.com/office/drawing/2015/06/chart">
            <c:ext xmlns:c16="http://schemas.microsoft.com/office/drawing/2014/chart" uri="{C3380CC4-5D6E-409C-BE32-E72D297353CC}">
              <c16:uniqueId val="{00000007-D4A2-4493-BF90-CDFCD6DBA160}"/>
            </c:ext>
          </c:extLst>
        </c:ser>
        <c:ser>
          <c:idx val="8"/>
          <c:order val="8"/>
          <c:tx>
            <c:strRef>
              <c:f>Sheet1!$D$12</c:f>
              <c:strCache>
                <c:ptCount val="1"/>
                <c:pt idx="0">
                  <c:v>December</c:v>
                </c:pt>
              </c:strCache>
            </c:strRef>
          </c:tx>
          <c:spPr>
            <a:solidFill>
              <a:schemeClr val="accent3">
                <a:lumMod val="60000"/>
              </a:schemeClr>
            </a:solidFill>
            <a:ln>
              <a:noFill/>
            </a:ln>
            <a:effectLst/>
          </c:spPr>
          <c:invertIfNegative val="0"/>
          <c:cat>
            <c:strRef>
              <c:f>Sheet1!$E$3</c:f>
              <c:strCache>
                <c:ptCount val="1"/>
                <c:pt idx="0">
                  <c:v>Percentage of mean</c:v>
                </c:pt>
              </c:strCache>
            </c:strRef>
          </c:cat>
          <c:val>
            <c:numRef>
              <c:f>Sheet1!$E$12</c:f>
              <c:numCache>
                <c:formatCode>0.00%</c:formatCode>
                <c:ptCount val="1"/>
                <c:pt idx="0">
                  <c:v>0.26722215955694251</c:v>
                </c:pt>
              </c:numCache>
            </c:numRef>
          </c:val>
          <c:extLst xmlns:c16r2="http://schemas.microsoft.com/office/drawing/2015/06/chart">
            <c:ext xmlns:c16="http://schemas.microsoft.com/office/drawing/2014/chart" uri="{C3380CC4-5D6E-409C-BE32-E72D297353CC}">
              <c16:uniqueId val="{00000008-D4A2-4493-BF90-CDFCD6DBA160}"/>
            </c:ext>
          </c:extLst>
        </c:ser>
        <c:ser>
          <c:idx val="9"/>
          <c:order val="9"/>
          <c:tx>
            <c:strRef>
              <c:f>Sheet1!$D$13</c:f>
              <c:strCache>
                <c:ptCount val="1"/>
                <c:pt idx="0">
                  <c:v>January</c:v>
                </c:pt>
              </c:strCache>
            </c:strRef>
          </c:tx>
          <c:spPr>
            <a:solidFill>
              <a:schemeClr val="accent4">
                <a:lumMod val="60000"/>
              </a:schemeClr>
            </a:solidFill>
            <a:ln>
              <a:noFill/>
            </a:ln>
            <a:effectLst/>
          </c:spPr>
          <c:invertIfNegative val="0"/>
          <c:cat>
            <c:strRef>
              <c:f>Sheet1!$E$3</c:f>
              <c:strCache>
                <c:ptCount val="1"/>
                <c:pt idx="0">
                  <c:v>Percentage of mean</c:v>
                </c:pt>
              </c:strCache>
            </c:strRef>
          </c:cat>
          <c:val>
            <c:numRef>
              <c:f>Sheet1!$E$13</c:f>
              <c:numCache>
                <c:formatCode>0.00%</c:formatCode>
                <c:ptCount val="1"/>
                <c:pt idx="0">
                  <c:v>-0.4357402370975671</c:v>
                </c:pt>
              </c:numCache>
            </c:numRef>
          </c:val>
          <c:extLst xmlns:c16r2="http://schemas.microsoft.com/office/drawing/2015/06/chart">
            <c:ext xmlns:c16="http://schemas.microsoft.com/office/drawing/2014/chart" uri="{C3380CC4-5D6E-409C-BE32-E72D297353CC}">
              <c16:uniqueId val="{00000009-D4A2-4493-BF90-CDFCD6DBA160}"/>
            </c:ext>
          </c:extLst>
        </c:ser>
        <c:ser>
          <c:idx val="10"/>
          <c:order val="10"/>
          <c:tx>
            <c:strRef>
              <c:f>Sheet1!$D$14</c:f>
              <c:strCache>
                <c:ptCount val="1"/>
                <c:pt idx="0">
                  <c:v>February</c:v>
                </c:pt>
              </c:strCache>
            </c:strRef>
          </c:tx>
          <c:spPr>
            <a:solidFill>
              <a:schemeClr val="accent5">
                <a:lumMod val="60000"/>
              </a:schemeClr>
            </a:solidFill>
            <a:ln>
              <a:noFill/>
            </a:ln>
            <a:effectLst/>
          </c:spPr>
          <c:invertIfNegative val="0"/>
          <c:cat>
            <c:strRef>
              <c:f>Sheet1!$E$3</c:f>
              <c:strCache>
                <c:ptCount val="1"/>
                <c:pt idx="0">
                  <c:v>Percentage of mean</c:v>
                </c:pt>
              </c:strCache>
            </c:strRef>
          </c:cat>
          <c:val>
            <c:numRef>
              <c:f>Sheet1!$E$14</c:f>
              <c:numCache>
                <c:formatCode>0.00%</c:formatCode>
                <c:ptCount val="1"/>
                <c:pt idx="0">
                  <c:v>-0.23990288274212127</c:v>
                </c:pt>
              </c:numCache>
            </c:numRef>
          </c:val>
          <c:extLst xmlns:c16r2="http://schemas.microsoft.com/office/drawing/2015/06/chart">
            <c:ext xmlns:c16="http://schemas.microsoft.com/office/drawing/2014/chart" uri="{C3380CC4-5D6E-409C-BE32-E72D297353CC}">
              <c16:uniqueId val="{0000000A-D4A2-4493-BF90-CDFCD6DBA160}"/>
            </c:ext>
          </c:extLst>
        </c:ser>
        <c:ser>
          <c:idx val="11"/>
          <c:order val="11"/>
          <c:tx>
            <c:strRef>
              <c:f>Sheet1!$D$15</c:f>
              <c:strCache>
                <c:ptCount val="1"/>
                <c:pt idx="0">
                  <c:v>March</c:v>
                </c:pt>
              </c:strCache>
            </c:strRef>
          </c:tx>
          <c:spPr>
            <a:solidFill>
              <a:schemeClr val="accent6">
                <a:lumMod val="60000"/>
              </a:schemeClr>
            </a:solidFill>
            <a:ln>
              <a:noFill/>
            </a:ln>
            <a:effectLst/>
          </c:spPr>
          <c:invertIfNegative val="0"/>
          <c:cat>
            <c:strRef>
              <c:f>Sheet1!$E$3</c:f>
              <c:strCache>
                <c:ptCount val="1"/>
                <c:pt idx="0">
                  <c:v>Percentage of mean</c:v>
                </c:pt>
              </c:strCache>
            </c:strRef>
          </c:cat>
          <c:val>
            <c:numRef>
              <c:f>Sheet1!$E$15</c:f>
              <c:numCache>
                <c:formatCode>0.00%</c:formatCode>
                <c:ptCount val="1"/>
                <c:pt idx="0">
                  <c:v>-6.3537719624398276E-2</c:v>
                </c:pt>
              </c:numCache>
            </c:numRef>
          </c:val>
          <c:extLst xmlns:c16r2="http://schemas.microsoft.com/office/drawing/2015/06/chart">
            <c:ext xmlns:c16="http://schemas.microsoft.com/office/drawing/2014/chart" uri="{C3380CC4-5D6E-409C-BE32-E72D297353CC}">
              <c16:uniqueId val="{0000000B-D4A2-4493-BF90-CDFCD6DBA160}"/>
            </c:ext>
          </c:extLst>
        </c:ser>
        <c:dLbls>
          <c:showLegendKey val="0"/>
          <c:showVal val="0"/>
          <c:showCatName val="0"/>
          <c:showSerName val="0"/>
          <c:showPercent val="0"/>
          <c:showBubbleSize val="0"/>
        </c:dLbls>
        <c:gapWidth val="75"/>
        <c:overlap val="-25"/>
        <c:axId val="399663432"/>
        <c:axId val="399663040"/>
      </c:barChart>
      <c:catAx>
        <c:axId val="399663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Month</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3040"/>
        <c:crosses val="autoZero"/>
        <c:auto val="1"/>
        <c:lblAlgn val="ctr"/>
        <c:lblOffset val="100"/>
        <c:noMultiLvlLbl val="0"/>
      </c:catAx>
      <c:valAx>
        <c:axId val="399663040"/>
        <c:scaling>
          <c:orientation val="minMax"/>
          <c:max val="0.8"/>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Percentage</a:t>
                </a:r>
                <a:r>
                  <a:rPr lang="en-GB" sz="900" baseline="0"/>
                  <a:t> difference</a:t>
                </a:r>
                <a:endParaRPr lang="en-GB" sz="900"/>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3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Sheet1!$R$3</c:f>
              <c:strCache>
                <c:ptCount val="1"/>
                <c:pt idx="0">
                  <c:v>Footfall - 2019/20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Sheet1!$Q$4:$Q$15</c:f>
              <c:strCache>
                <c:ptCount val="12"/>
                <c:pt idx="0">
                  <c:v>April </c:v>
                </c:pt>
                <c:pt idx="1">
                  <c:v>May </c:v>
                </c:pt>
                <c:pt idx="2">
                  <c:v>June </c:v>
                </c:pt>
                <c:pt idx="3">
                  <c:v>July</c:v>
                </c:pt>
                <c:pt idx="4">
                  <c:v>August</c:v>
                </c:pt>
                <c:pt idx="5">
                  <c:v>September</c:v>
                </c:pt>
                <c:pt idx="6">
                  <c:v>October</c:v>
                </c:pt>
                <c:pt idx="7">
                  <c:v>November</c:v>
                </c:pt>
                <c:pt idx="8">
                  <c:v>December</c:v>
                </c:pt>
                <c:pt idx="9">
                  <c:v>January</c:v>
                </c:pt>
                <c:pt idx="10">
                  <c:v>February</c:v>
                </c:pt>
                <c:pt idx="11">
                  <c:v>March</c:v>
                </c:pt>
              </c:strCache>
            </c:strRef>
          </c:cat>
          <c:val>
            <c:numRef>
              <c:f>Sheet1!$R$4:$R$15</c:f>
              <c:numCache>
                <c:formatCode>#,##0</c:formatCode>
                <c:ptCount val="12"/>
                <c:pt idx="0">
                  <c:v>667701</c:v>
                </c:pt>
                <c:pt idx="1">
                  <c:v>691820</c:v>
                </c:pt>
                <c:pt idx="2">
                  <c:v>716661</c:v>
                </c:pt>
                <c:pt idx="3">
                  <c:v>765991</c:v>
                </c:pt>
                <c:pt idx="4">
                  <c:v>668290</c:v>
                </c:pt>
                <c:pt idx="5">
                  <c:v>655474</c:v>
                </c:pt>
                <c:pt idx="6">
                  <c:v>744363</c:v>
                </c:pt>
                <c:pt idx="7">
                  <c:v>681570</c:v>
                </c:pt>
                <c:pt idx="8">
                  <c:v>630452</c:v>
                </c:pt>
                <c:pt idx="9">
                  <c:v>572064</c:v>
                </c:pt>
                <c:pt idx="10">
                  <c:v>615709</c:v>
                </c:pt>
                <c:pt idx="11">
                  <c:v>322429</c:v>
                </c:pt>
              </c:numCache>
            </c:numRef>
          </c:val>
          <c:smooth val="0"/>
          <c:extLst xmlns:c16r2="http://schemas.microsoft.com/office/drawing/2015/06/chart">
            <c:ext xmlns:c16="http://schemas.microsoft.com/office/drawing/2014/chart" uri="{C3380CC4-5D6E-409C-BE32-E72D297353CC}">
              <c16:uniqueId val="{00000000-2649-493C-AD07-334B8C9B59E0}"/>
            </c:ext>
          </c:extLst>
        </c:ser>
        <c:ser>
          <c:idx val="1"/>
          <c:order val="1"/>
          <c:tx>
            <c:strRef>
              <c:f>Sheet1!$S$3</c:f>
              <c:strCache>
                <c:ptCount val="1"/>
                <c:pt idx="0">
                  <c:v>Footfall - 2020/21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Sheet1!$Q$4:$Q$15</c:f>
              <c:strCache>
                <c:ptCount val="12"/>
                <c:pt idx="0">
                  <c:v>April </c:v>
                </c:pt>
                <c:pt idx="1">
                  <c:v>May </c:v>
                </c:pt>
                <c:pt idx="2">
                  <c:v>June </c:v>
                </c:pt>
                <c:pt idx="3">
                  <c:v>July</c:v>
                </c:pt>
                <c:pt idx="4">
                  <c:v>August</c:v>
                </c:pt>
                <c:pt idx="5">
                  <c:v>September</c:v>
                </c:pt>
                <c:pt idx="6">
                  <c:v>October</c:v>
                </c:pt>
                <c:pt idx="7">
                  <c:v>November</c:v>
                </c:pt>
                <c:pt idx="8">
                  <c:v>December</c:v>
                </c:pt>
                <c:pt idx="9">
                  <c:v>January</c:v>
                </c:pt>
                <c:pt idx="10">
                  <c:v>February</c:v>
                </c:pt>
                <c:pt idx="11">
                  <c:v>March</c:v>
                </c:pt>
              </c:strCache>
            </c:strRef>
          </c:cat>
          <c:val>
            <c:numRef>
              <c:f>Sheet1!$S$4:$S$15</c:f>
              <c:numCache>
                <c:formatCode>#,##0</c:formatCode>
                <c:ptCount val="12"/>
                <c:pt idx="0">
                  <c:v>68518</c:v>
                </c:pt>
                <c:pt idx="1">
                  <c:v>87599</c:v>
                </c:pt>
                <c:pt idx="2">
                  <c:v>177863</c:v>
                </c:pt>
                <c:pt idx="3">
                  <c:v>289014</c:v>
                </c:pt>
                <c:pt idx="4">
                  <c:v>357842</c:v>
                </c:pt>
                <c:pt idx="5">
                  <c:v>390082</c:v>
                </c:pt>
                <c:pt idx="6">
                  <c:v>420293</c:v>
                </c:pt>
                <c:pt idx="7">
                  <c:v>236695</c:v>
                </c:pt>
                <c:pt idx="8">
                  <c:v>303331</c:v>
                </c:pt>
                <c:pt idx="9">
                  <c:v>135065</c:v>
                </c:pt>
                <c:pt idx="10">
                  <c:v>181942</c:v>
                </c:pt>
                <c:pt idx="11">
                  <c:v>224158</c:v>
                </c:pt>
              </c:numCache>
            </c:numRef>
          </c:val>
          <c:smooth val="0"/>
          <c:extLst xmlns:c16r2="http://schemas.microsoft.com/office/drawing/2015/06/chart">
            <c:ext xmlns:c16="http://schemas.microsoft.com/office/drawing/2014/chart" uri="{C3380CC4-5D6E-409C-BE32-E72D297353CC}">
              <c16:uniqueId val="{00000001-2649-493C-AD07-334B8C9B59E0}"/>
            </c:ext>
          </c:extLst>
        </c:ser>
        <c:dLbls>
          <c:showLegendKey val="0"/>
          <c:showVal val="0"/>
          <c:showCatName val="0"/>
          <c:showSerName val="0"/>
          <c:showPercent val="0"/>
          <c:showBubbleSize val="0"/>
        </c:dLbls>
        <c:marker val="1"/>
        <c:smooth val="0"/>
        <c:axId val="399662648"/>
        <c:axId val="399666960"/>
      </c:lineChart>
      <c:catAx>
        <c:axId val="399662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Month</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6960"/>
        <c:crosses val="autoZero"/>
        <c:auto val="1"/>
        <c:lblAlgn val="ctr"/>
        <c:lblOffset val="100"/>
        <c:noMultiLvlLbl val="0"/>
      </c:catAx>
      <c:valAx>
        <c:axId val="399666960"/>
        <c:scaling>
          <c:orientation val="minMax"/>
          <c:max val="78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Footfall count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2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'2020'!$A$71</c:f>
              <c:strCache>
                <c:ptCount val="1"/>
                <c:pt idx="0">
                  <c:v>City centre primary </c:v>
                </c:pt>
              </c:strCache>
            </c:strRef>
          </c:tx>
          <c:spPr>
            <a:solidFill>
              <a:schemeClr val="accent1"/>
            </a:solidFill>
            <a:ln>
              <a:noFill/>
            </a:ln>
            <a:effectLst/>
          </c:spPr>
          <c:invertIfNegative val="0"/>
          <c:cat>
            <c:strRef>
              <c:f>'2020'!$B$70:$L$70</c:f>
              <c:strCache>
                <c:ptCount val="11"/>
                <c:pt idx="0">
                  <c:v>A1</c:v>
                </c:pt>
                <c:pt idx="1">
                  <c:v>A2</c:v>
                </c:pt>
                <c:pt idx="2">
                  <c:v>A3</c:v>
                </c:pt>
                <c:pt idx="3">
                  <c:v>A4</c:v>
                </c:pt>
                <c:pt idx="4">
                  <c:v>A5</c:v>
                </c:pt>
                <c:pt idx="5">
                  <c:v>A1/A3</c:v>
                </c:pt>
                <c:pt idx="6">
                  <c:v>C1</c:v>
                </c:pt>
                <c:pt idx="7">
                  <c:v>D1</c:v>
                </c:pt>
                <c:pt idx="8">
                  <c:v>D2</c:v>
                </c:pt>
                <c:pt idx="9">
                  <c:v>SuiGen</c:v>
                </c:pt>
                <c:pt idx="10">
                  <c:v>Vacant </c:v>
                </c:pt>
              </c:strCache>
            </c:strRef>
          </c:cat>
          <c:val>
            <c:numRef>
              <c:f>'2020'!$B$71:$L$71</c:f>
              <c:numCache>
                <c:formatCode>0%</c:formatCode>
                <c:ptCount val="11"/>
                <c:pt idx="0">
                  <c:v>0.62831858407079644</c:v>
                </c:pt>
                <c:pt idx="1">
                  <c:v>9.2920353982300891E-2</c:v>
                </c:pt>
                <c:pt idx="2">
                  <c:v>7.9646017699115043E-2</c:v>
                </c:pt>
                <c:pt idx="3">
                  <c:v>1.7699115044247787E-2</c:v>
                </c:pt>
                <c:pt idx="4">
                  <c:v>1.7699115044247787E-2</c:v>
                </c:pt>
                <c:pt idx="5">
                  <c:v>2.2123893805309734E-2</c:v>
                </c:pt>
                <c:pt idx="7">
                  <c:v>0</c:v>
                </c:pt>
                <c:pt idx="8">
                  <c:v>4.4247787610619468E-3</c:v>
                </c:pt>
                <c:pt idx="9">
                  <c:v>0</c:v>
                </c:pt>
                <c:pt idx="10">
                  <c:v>0.13716814159292035</c:v>
                </c:pt>
              </c:numCache>
            </c:numRef>
          </c:val>
          <c:extLst xmlns:c16r2="http://schemas.microsoft.com/office/drawing/2015/06/chart">
            <c:ext xmlns:c16="http://schemas.microsoft.com/office/drawing/2014/chart" uri="{C3380CC4-5D6E-409C-BE32-E72D297353CC}">
              <c16:uniqueId val="{00000000-D553-4C07-BBC0-E4592155DA13}"/>
            </c:ext>
          </c:extLst>
        </c:ser>
        <c:ser>
          <c:idx val="1"/>
          <c:order val="1"/>
          <c:tx>
            <c:strRef>
              <c:f>'2020'!$A$72</c:f>
              <c:strCache>
                <c:ptCount val="1"/>
                <c:pt idx="0">
                  <c:v>City centre secondary </c:v>
                </c:pt>
              </c:strCache>
            </c:strRef>
          </c:tx>
          <c:spPr>
            <a:solidFill>
              <a:schemeClr val="accent2"/>
            </a:solidFill>
            <a:ln>
              <a:noFill/>
            </a:ln>
            <a:effectLst/>
          </c:spPr>
          <c:invertIfNegative val="0"/>
          <c:cat>
            <c:strRef>
              <c:f>'2020'!$B$70:$L$70</c:f>
              <c:strCache>
                <c:ptCount val="11"/>
                <c:pt idx="0">
                  <c:v>A1</c:v>
                </c:pt>
                <c:pt idx="1">
                  <c:v>A2</c:v>
                </c:pt>
                <c:pt idx="2">
                  <c:v>A3</c:v>
                </c:pt>
                <c:pt idx="3">
                  <c:v>A4</c:v>
                </c:pt>
                <c:pt idx="4">
                  <c:v>A5</c:v>
                </c:pt>
                <c:pt idx="5">
                  <c:v>A1/A3</c:v>
                </c:pt>
                <c:pt idx="6">
                  <c:v>C1</c:v>
                </c:pt>
                <c:pt idx="7">
                  <c:v>D1</c:v>
                </c:pt>
                <c:pt idx="8">
                  <c:v>D2</c:v>
                </c:pt>
                <c:pt idx="9">
                  <c:v>SuiGen</c:v>
                </c:pt>
                <c:pt idx="10">
                  <c:v>Vacant </c:v>
                </c:pt>
              </c:strCache>
            </c:strRef>
          </c:cat>
          <c:val>
            <c:numRef>
              <c:f>'2020'!$B$72:$L$72</c:f>
              <c:numCache>
                <c:formatCode>0%</c:formatCode>
                <c:ptCount val="11"/>
                <c:pt idx="0">
                  <c:v>0.37280701754385964</c:v>
                </c:pt>
                <c:pt idx="1">
                  <c:v>4.3859649122807015E-2</c:v>
                </c:pt>
                <c:pt idx="2">
                  <c:v>0.23245614035087719</c:v>
                </c:pt>
                <c:pt idx="3">
                  <c:v>9.2105263157894732E-2</c:v>
                </c:pt>
                <c:pt idx="4">
                  <c:v>1.3157894736842105E-2</c:v>
                </c:pt>
                <c:pt idx="5">
                  <c:v>8.771929824561403E-3</c:v>
                </c:pt>
                <c:pt idx="6">
                  <c:v>8.771929824561403E-3</c:v>
                </c:pt>
                <c:pt idx="7">
                  <c:v>2.6315789473684209E-2</c:v>
                </c:pt>
                <c:pt idx="8">
                  <c:v>1.3157894736842105E-2</c:v>
                </c:pt>
                <c:pt idx="9">
                  <c:v>4.8245614035087717E-2</c:v>
                </c:pt>
                <c:pt idx="10">
                  <c:v>0.14035087719298245</c:v>
                </c:pt>
              </c:numCache>
            </c:numRef>
          </c:val>
          <c:extLst xmlns:c16r2="http://schemas.microsoft.com/office/drawing/2015/06/chart">
            <c:ext xmlns:c16="http://schemas.microsoft.com/office/drawing/2014/chart" uri="{C3380CC4-5D6E-409C-BE32-E72D297353CC}">
              <c16:uniqueId val="{00000001-D553-4C07-BBC0-E4592155DA13}"/>
            </c:ext>
          </c:extLst>
        </c:ser>
        <c:ser>
          <c:idx val="2"/>
          <c:order val="2"/>
          <c:tx>
            <c:strRef>
              <c:f>'2020'!$A$73</c:f>
              <c:strCache>
                <c:ptCount val="1"/>
                <c:pt idx="0">
                  <c:v>Westgate</c:v>
                </c:pt>
              </c:strCache>
            </c:strRef>
          </c:tx>
          <c:spPr>
            <a:solidFill>
              <a:schemeClr val="accent3"/>
            </a:solidFill>
            <a:ln>
              <a:noFill/>
            </a:ln>
            <a:effectLst/>
          </c:spPr>
          <c:invertIfNegative val="0"/>
          <c:cat>
            <c:strRef>
              <c:f>'2020'!$B$70:$L$70</c:f>
              <c:strCache>
                <c:ptCount val="11"/>
                <c:pt idx="0">
                  <c:v>A1</c:v>
                </c:pt>
                <c:pt idx="1">
                  <c:v>A2</c:v>
                </c:pt>
                <c:pt idx="2">
                  <c:v>A3</c:v>
                </c:pt>
                <c:pt idx="3">
                  <c:v>A4</c:v>
                </c:pt>
                <c:pt idx="4">
                  <c:v>A5</c:v>
                </c:pt>
                <c:pt idx="5">
                  <c:v>A1/A3</c:v>
                </c:pt>
                <c:pt idx="6">
                  <c:v>C1</c:v>
                </c:pt>
                <c:pt idx="7">
                  <c:v>D1</c:v>
                </c:pt>
                <c:pt idx="8">
                  <c:v>D2</c:v>
                </c:pt>
                <c:pt idx="9">
                  <c:v>SuiGen</c:v>
                </c:pt>
                <c:pt idx="10">
                  <c:v>Vacant </c:v>
                </c:pt>
              </c:strCache>
            </c:strRef>
          </c:cat>
          <c:val>
            <c:numRef>
              <c:f>'2020'!$B$73:$L$73</c:f>
              <c:numCache>
                <c:formatCode>0%</c:formatCode>
                <c:ptCount val="11"/>
                <c:pt idx="0">
                  <c:v>0.671875</c:v>
                </c:pt>
                <c:pt idx="1">
                  <c:v>7.8125E-3</c:v>
                </c:pt>
                <c:pt idx="2">
                  <c:v>0.140625</c:v>
                </c:pt>
                <c:pt idx="3">
                  <c:v>0</c:v>
                </c:pt>
                <c:pt idx="4">
                  <c:v>7.8125E-3</c:v>
                </c:pt>
                <c:pt idx="5">
                  <c:v>0</c:v>
                </c:pt>
                <c:pt idx="7">
                  <c:v>7.8125E-3</c:v>
                </c:pt>
                <c:pt idx="8">
                  <c:v>7.8125E-3</c:v>
                </c:pt>
                <c:pt idx="9">
                  <c:v>2.34375E-2</c:v>
                </c:pt>
                <c:pt idx="10">
                  <c:v>0.1328125</c:v>
                </c:pt>
              </c:numCache>
            </c:numRef>
          </c:val>
          <c:extLst xmlns:c16r2="http://schemas.microsoft.com/office/drawing/2015/06/chart">
            <c:ext xmlns:c16="http://schemas.microsoft.com/office/drawing/2014/chart" uri="{C3380CC4-5D6E-409C-BE32-E72D297353CC}">
              <c16:uniqueId val="{00000002-D553-4C07-BBC0-E4592155DA13}"/>
            </c:ext>
          </c:extLst>
        </c:ser>
        <c:dLbls>
          <c:showLegendKey val="0"/>
          <c:showVal val="0"/>
          <c:showCatName val="0"/>
          <c:showSerName val="0"/>
          <c:showPercent val="0"/>
          <c:showBubbleSize val="0"/>
        </c:dLbls>
        <c:gapWidth val="219"/>
        <c:overlap val="-27"/>
        <c:axId val="399661080"/>
        <c:axId val="399667744"/>
      </c:barChart>
      <c:catAx>
        <c:axId val="399661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Use class classification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7744"/>
        <c:crosses val="autoZero"/>
        <c:auto val="1"/>
        <c:lblAlgn val="ctr"/>
        <c:lblOffset val="100"/>
        <c:noMultiLvlLbl val="0"/>
      </c:catAx>
      <c:valAx>
        <c:axId val="399667744"/>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effectLst/>
                  </a:rPr>
                  <a:t>Percentage share of use class </a:t>
                </a:r>
                <a:endParaRPr lang="en-GB" sz="900">
                  <a:effectLst/>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1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'2020'!$Q$92</c:f>
              <c:strCache>
                <c:ptCount val="1"/>
                <c:pt idx="0">
                  <c:v>Headington </c:v>
                </c:pt>
              </c:strCache>
            </c:strRef>
          </c:tx>
          <c:spPr>
            <a:solidFill>
              <a:schemeClr val="accent1"/>
            </a:solidFill>
            <a:ln>
              <a:noFill/>
            </a:ln>
            <a:effectLst/>
          </c:spPr>
          <c:invertIfNegative val="0"/>
          <c:cat>
            <c:strRef>
              <c:f>'2020'!$R$91:$AB$91</c:f>
              <c:strCache>
                <c:ptCount val="11"/>
                <c:pt idx="0">
                  <c:v>A1</c:v>
                </c:pt>
                <c:pt idx="1">
                  <c:v>A2</c:v>
                </c:pt>
                <c:pt idx="2">
                  <c:v>A3</c:v>
                </c:pt>
                <c:pt idx="3">
                  <c:v>A4</c:v>
                </c:pt>
                <c:pt idx="4">
                  <c:v>A5</c:v>
                </c:pt>
                <c:pt idx="5">
                  <c:v>A1/A3</c:v>
                </c:pt>
                <c:pt idx="6">
                  <c:v>C1</c:v>
                </c:pt>
                <c:pt idx="7">
                  <c:v>D1</c:v>
                </c:pt>
                <c:pt idx="8">
                  <c:v>D2</c:v>
                </c:pt>
                <c:pt idx="9">
                  <c:v>SuiGen</c:v>
                </c:pt>
                <c:pt idx="10">
                  <c:v>Vacant </c:v>
                </c:pt>
              </c:strCache>
            </c:strRef>
          </c:cat>
          <c:val>
            <c:numRef>
              <c:f>'2020'!$R$92:$AB$92</c:f>
              <c:numCache>
                <c:formatCode>0%</c:formatCode>
                <c:ptCount val="11"/>
                <c:pt idx="0">
                  <c:v>0.52032520325203258</c:v>
                </c:pt>
                <c:pt idx="1">
                  <c:v>0.15447154471544716</c:v>
                </c:pt>
                <c:pt idx="2">
                  <c:v>8.1300813008130079E-2</c:v>
                </c:pt>
                <c:pt idx="3">
                  <c:v>1.6260162601626018E-2</c:v>
                </c:pt>
                <c:pt idx="4">
                  <c:v>3.2520325203252036E-2</c:v>
                </c:pt>
                <c:pt idx="5">
                  <c:v>4.878048780487805E-2</c:v>
                </c:pt>
                <c:pt idx="6">
                  <c:v>8.130081300813009E-3</c:v>
                </c:pt>
                <c:pt idx="7">
                  <c:v>0</c:v>
                </c:pt>
                <c:pt idx="8">
                  <c:v>0</c:v>
                </c:pt>
                <c:pt idx="9">
                  <c:v>4.065040650406504E-2</c:v>
                </c:pt>
                <c:pt idx="10">
                  <c:v>9.7560975609756101E-2</c:v>
                </c:pt>
              </c:numCache>
            </c:numRef>
          </c:val>
          <c:extLst xmlns:c16r2="http://schemas.microsoft.com/office/drawing/2015/06/chart">
            <c:ext xmlns:c16="http://schemas.microsoft.com/office/drawing/2014/chart" uri="{C3380CC4-5D6E-409C-BE32-E72D297353CC}">
              <c16:uniqueId val="{00000000-8102-4B44-BBD5-37E3CE05E327}"/>
            </c:ext>
          </c:extLst>
        </c:ser>
        <c:ser>
          <c:idx val="1"/>
          <c:order val="1"/>
          <c:tx>
            <c:strRef>
              <c:f>'2020'!$Q$93</c:f>
              <c:strCache>
                <c:ptCount val="1"/>
                <c:pt idx="0">
                  <c:v>Summertown</c:v>
                </c:pt>
              </c:strCache>
            </c:strRef>
          </c:tx>
          <c:spPr>
            <a:solidFill>
              <a:schemeClr val="accent2"/>
            </a:solidFill>
            <a:ln>
              <a:noFill/>
            </a:ln>
            <a:effectLst/>
          </c:spPr>
          <c:invertIfNegative val="0"/>
          <c:cat>
            <c:strRef>
              <c:f>'2020'!$R$91:$AB$91</c:f>
              <c:strCache>
                <c:ptCount val="11"/>
                <c:pt idx="0">
                  <c:v>A1</c:v>
                </c:pt>
                <c:pt idx="1">
                  <c:v>A2</c:v>
                </c:pt>
                <c:pt idx="2">
                  <c:v>A3</c:v>
                </c:pt>
                <c:pt idx="3">
                  <c:v>A4</c:v>
                </c:pt>
                <c:pt idx="4">
                  <c:v>A5</c:v>
                </c:pt>
                <c:pt idx="5">
                  <c:v>A1/A3</c:v>
                </c:pt>
                <c:pt idx="6">
                  <c:v>C1</c:v>
                </c:pt>
                <c:pt idx="7">
                  <c:v>D1</c:v>
                </c:pt>
                <c:pt idx="8">
                  <c:v>D2</c:v>
                </c:pt>
                <c:pt idx="9">
                  <c:v>SuiGen</c:v>
                </c:pt>
                <c:pt idx="10">
                  <c:v>Vacant </c:v>
                </c:pt>
              </c:strCache>
            </c:strRef>
          </c:cat>
          <c:val>
            <c:numRef>
              <c:f>'2020'!$R$93:$AB$93</c:f>
              <c:numCache>
                <c:formatCode>0%</c:formatCode>
                <c:ptCount val="11"/>
                <c:pt idx="0">
                  <c:v>0.55963302752293576</c:v>
                </c:pt>
                <c:pt idx="1">
                  <c:v>0.19</c:v>
                </c:pt>
                <c:pt idx="2">
                  <c:v>0.09</c:v>
                </c:pt>
                <c:pt idx="3">
                  <c:v>0.01</c:v>
                </c:pt>
                <c:pt idx="4">
                  <c:v>0.01</c:v>
                </c:pt>
                <c:pt idx="5">
                  <c:v>0.02</c:v>
                </c:pt>
                <c:pt idx="6">
                  <c:v>0</c:v>
                </c:pt>
                <c:pt idx="7">
                  <c:v>0.02</c:v>
                </c:pt>
                <c:pt idx="8">
                  <c:v>0</c:v>
                </c:pt>
                <c:pt idx="9">
                  <c:v>0.02</c:v>
                </c:pt>
                <c:pt idx="10">
                  <c:v>0.12</c:v>
                </c:pt>
              </c:numCache>
            </c:numRef>
          </c:val>
          <c:extLst xmlns:c16r2="http://schemas.microsoft.com/office/drawing/2015/06/chart">
            <c:ext xmlns:c16="http://schemas.microsoft.com/office/drawing/2014/chart" uri="{C3380CC4-5D6E-409C-BE32-E72D297353CC}">
              <c16:uniqueId val="{00000001-8102-4B44-BBD5-37E3CE05E327}"/>
            </c:ext>
          </c:extLst>
        </c:ser>
        <c:ser>
          <c:idx val="2"/>
          <c:order val="2"/>
          <c:tx>
            <c:strRef>
              <c:f>'2020'!$Q$94</c:f>
              <c:strCache>
                <c:ptCount val="1"/>
                <c:pt idx="0">
                  <c:v>Cowley Centre</c:v>
                </c:pt>
              </c:strCache>
            </c:strRef>
          </c:tx>
          <c:spPr>
            <a:solidFill>
              <a:schemeClr val="accent3"/>
            </a:solidFill>
            <a:ln>
              <a:noFill/>
            </a:ln>
            <a:effectLst/>
          </c:spPr>
          <c:invertIfNegative val="0"/>
          <c:cat>
            <c:strRef>
              <c:f>'2020'!$R$91:$AB$91</c:f>
              <c:strCache>
                <c:ptCount val="11"/>
                <c:pt idx="0">
                  <c:v>A1</c:v>
                </c:pt>
                <c:pt idx="1">
                  <c:v>A2</c:v>
                </c:pt>
                <c:pt idx="2">
                  <c:v>A3</c:v>
                </c:pt>
                <c:pt idx="3">
                  <c:v>A4</c:v>
                </c:pt>
                <c:pt idx="4">
                  <c:v>A5</c:v>
                </c:pt>
                <c:pt idx="5">
                  <c:v>A1/A3</c:v>
                </c:pt>
                <c:pt idx="6">
                  <c:v>C1</c:v>
                </c:pt>
                <c:pt idx="7">
                  <c:v>D1</c:v>
                </c:pt>
                <c:pt idx="8">
                  <c:v>D2</c:v>
                </c:pt>
                <c:pt idx="9">
                  <c:v>SuiGen</c:v>
                </c:pt>
                <c:pt idx="10">
                  <c:v>Vacant </c:v>
                </c:pt>
              </c:strCache>
            </c:strRef>
          </c:cat>
          <c:val>
            <c:numRef>
              <c:f>'2020'!$R$94:$AB$94</c:f>
              <c:numCache>
                <c:formatCode>0%</c:formatCode>
                <c:ptCount val="11"/>
                <c:pt idx="0">
                  <c:v>0.63551401869158874</c:v>
                </c:pt>
                <c:pt idx="1">
                  <c:v>7.476635514018691E-2</c:v>
                </c:pt>
                <c:pt idx="2">
                  <c:v>3.7383177570093455E-2</c:v>
                </c:pt>
                <c:pt idx="3">
                  <c:v>9.3457943925233638E-3</c:v>
                </c:pt>
                <c:pt idx="4">
                  <c:v>4.6728971962616821E-2</c:v>
                </c:pt>
                <c:pt idx="5">
                  <c:v>0</c:v>
                </c:pt>
                <c:pt idx="6">
                  <c:v>0</c:v>
                </c:pt>
                <c:pt idx="7">
                  <c:v>1.8691588785046728E-2</c:v>
                </c:pt>
                <c:pt idx="8">
                  <c:v>1.8691588785046728E-2</c:v>
                </c:pt>
                <c:pt idx="9">
                  <c:v>3.7383177570093455E-2</c:v>
                </c:pt>
                <c:pt idx="10">
                  <c:v>0.12149532710280374</c:v>
                </c:pt>
              </c:numCache>
            </c:numRef>
          </c:val>
          <c:extLst xmlns:c16r2="http://schemas.microsoft.com/office/drawing/2015/06/chart">
            <c:ext xmlns:c16="http://schemas.microsoft.com/office/drawing/2014/chart" uri="{C3380CC4-5D6E-409C-BE32-E72D297353CC}">
              <c16:uniqueId val="{00000002-8102-4B44-BBD5-37E3CE05E327}"/>
            </c:ext>
          </c:extLst>
        </c:ser>
        <c:ser>
          <c:idx val="3"/>
          <c:order val="3"/>
          <c:tx>
            <c:strRef>
              <c:f>'2020'!$Q$95</c:f>
              <c:strCache>
                <c:ptCount val="1"/>
                <c:pt idx="0">
                  <c:v>East Oxford</c:v>
                </c:pt>
              </c:strCache>
            </c:strRef>
          </c:tx>
          <c:spPr>
            <a:solidFill>
              <a:schemeClr val="accent4"/>
            </a:solidFill>
            <a:ln>
              <a:noFill/>
            </a:ln>
            <a:effectLst/>
          </c:spPr>
          <c:invertIfNegative val="0"/>
          <c:cat>
            <c:strRef>
              <c:f>'2020'!$R$91:$AB$91</c:f>
              <c:strCache>
                <c:ptCount val="11"/>
                <c:pt idx="0">
                  <c:v>A1</c:v>
                </c:pt>
                <c:pt idx="1">
                  <c:v>A2</c:v>
                </c:pt>
                <c:pt idx="2">
                  <c:v>A3</c:v>
                </c:pt>
                <c:pt idx="3">
                  <c:v>A4</c:v>
                </c:pt>
                <c:pt idx="4">
                  <c:v>A5</c:v>
                </c:pt>
                <c:pt idx="5">
                  <c:v>A1/A3</c:v>
                </c:pt>
                <c:pt idx="6">
                  <c:v>C1</c:v>
                </c:pt>
                <c:pt idx="7">
                  <c:v>D1</c:v>
                </c:pt>
                <c:pt idx="8">
                  <c:v>D2</c:v>
                </c:pt>
                <c:pt idx="9">
                  <c:v>SuiGen</c:v>
                </c:pt>
                <c:pt idx="10">
                  <c:v>Vacant </c:v>
                </c:pt>
              </c:strCache>
            </c:strRef>
          </c:cat>
          <c:val>
            <c:numRef>
              <c:f>'2020'!$R$95:$AB$95</c:f>
              <c:numCache>
                <c:formatCode>0%</c:formatCode>
                <c:ptCount val="11"/>
                <c:pt idx="0">
                  <c:v>0.44565217391304346</c:v>
                </c:pt>
                <c:pt idx="1">
                  <c:v>7.6086956521739135E-2</c:v>
                </c:pt>
                <c:pt idx="2">
                  <c:v>0.23369565217391305</c:v>
                </c:pt>
                <c:pt idx="3">
                  <c:v>4.8913043478260872E-2</c:v>
                </c:pt>
                <c:pt idx="4">
                  <c:v>8.1521739130434784E-2</c:v>
                </c:pt>
                <c:pt idx="5">
                  <c:v>5.434782608695652E-3</c:v>
                </c:pt>
                <c:pt idx="6">
                  <c:v>0</c:v>
                </c:pt>
                <c:pt idx="7">
                  <c:v>2.717391304347826E-2</c:v>
                </c:pt>
                <c:pt idx="8">
                  <c:v>1.0869565217391304E-2</c:v>
                </c:pt>
                <c:pt idx="9">
                  <c:v>2.1739130434782608E-2</c:v>
                </c:pt>
                <c:pt idx="10">
                  <c:v>4.8913043478260872E-2</c:v>
                </c:pt>
              </c:numCache>
            </c:numRef>
          </c:val>
          <c:extLst xmlns:c16r2="http://schemas.microsoft.com/office/drawing/2015/06/chart">
            <c:ext xmlns:c16="http://schemas.microsoft.com/office/drawing/2014/chart" uri="{C3380CC4-5D6E-409C-BE32-E72D297353CC}">
              <c16:uniqueId val="{00000003-8102-4B44-BBD5-37E3CE05E327}"/>
            </c:ext>
          </c:extLst>
        </c:ser>
        <c:dLbls>
          <c:showLegendKey val="0"/>
          <c:showVal val="0"/>
          <c:showCatName val="0"/>
          <c:showSerName val="0"/>
          <c:showPercent val="0"/>
          <c:showBubbleSize val="0"/>
        </c:dLbls>
        <c:gapWidth val="150"/>
        <c:axId val="399665784"/>
        <c:axId val="399668528"/>
      </c:barChart>
      <c:catAx>
        <c:axId val="399665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Use class classification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8528"/>
        <c:crosses val="autoZero"/>
        <c:auto val="1"/>
        <c:lblAlgn val="ctr"/>
        <c:lblOffset val="100"/>
        <c:noMultiLvlLbl val="0"/>
      </c:catAx>
      <c:valAx>
        <c:axId val="399668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share of use class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578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'Requirement Supply Oct 21'!$A$2</c:f>
              <c:strCache>
                <c:ptCount val="1"/>
                <c:pt idx="0">
                  <c:v>Completions </c:v>
                </c:pt>
              </c:strCache>
            </c:strRef>
          </c:tx>
          <c:spPr>
            <a:solidFill>
              <a:srgbClr val="00B050"/>
            </a:solidFill>
            <a:ln>
              <a:noFill/>
            </a:ln>
            <a:effectLst/>
          </c:spPr>
          <c:invertIfNegative val="0"/>
          <c:cat>
            <c:strRef>
              <c:f>'Requirement Supply Oct 21'!$B$1:$U$1</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'Requirement Supply Oct 21'!$B$2:$U$2</c:f>
              <c:numCache>
                <c:formatCode>General</c:formatCode>
                <c:ptCount val="20"/>
                <c:pt idx="0">
                  <c:v>435</c:v>
                </c:pt>
                <c:pt idx="1">
                  <c:v>373</c:v>
                </c:pt>
                <c:pt idx="2">
                  <c:v>356</c:v>
                </c:pt>
                <c:pt idx="3">
                  <c:v>784</c:v>
                </c:pt>
                <c:pt idx="4">
                  <c:v>743</c:v>
                </c:pt>
              </c:numCache>
            </c:numRef>
          </c:val>
          <c:extLst xmlns:c16r2="http://schemas.microsoft.com/office/drawing/2015/06/chart">
            <c:ext xmlns:c16="http://schemas.microsoft.com/office/drawing/2014/chart" uri="{C3380CC4-5D6E-409C-BE32-E72D297353CC}">
              <c16:uniqueId val="{00000000-3AE7-4FDD-983C-F28E68E44DD5}"/>
            </c:ext>
          </c:extLst>
        </c:ser>
        <c:ser>
          <c:idx val="1"/>
          <c:order val="1"/>
          <c:tx>
            <c:strRef>
              <c:f>'Requirement Supply Oct 21'!$A$3</c:f>
              <c:strCache>
                <c:ptCount val="1"/>
                <c:pt idx="0">
                  <c:v>Projections</c:v>
                </c:pt>
              </c:strCache>
            </c:strRef>
          </c:tx>
          <c:spPr>
            <a:solidFill>
              <a:srgbClr val="FFC000"/>
            </a:solidFill>
            <a:ln>
              <a:noFill/>
            </a:ln>
            <a:effectLst/>
          </c:spPr>
          <c:invertIfNegative val="0"/>
          <c:cat>
            <c:strRef>
              <c:f>'Requirement Supply Oct 21'!$B$1:$U$1</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'Requirement Supply Oct 21'!$B$3:$U$3</c:f>
              <c:numCache>
                <c:formatCode>General</c:formatCode>
                <c:ptCount val="20"/>
                <c:pt idx="5">
                  <c:v>531</c:v>
                </c:pt>
                <c:pt idx="6">
                  <c:v>776</c:v>
                </c:pt>
                <c:pt idx="7">
                  <c:v>733</c:v>
                </c:pt>
                <c:pt idx="8">
                  <c:v>761</c:v>
                </c:pt>
                <c:pt idx="9">
                  <c:v>1111</c:v>
                </c:pt>
                <c:pt idx="10">
                  <c:v>1500</c:v>
                </c:pt>
                <c:pt idx="11">
                  <c:v>665</c:v>
                </c:pt>
                <c:pt idx="12">
                  <c:v>738</c:v>
                </c:pt>
                <c:pt idx="13">
                  <c:v>510</c:v>
                </c:pt>
                <c:pt idx="14">
                  <c:v>531</c:v>
                </c:pt>
                <c:pt idx="15">
                  <c:v>201</c:v>
                </c:pt>
                <c:pt idx="16">
                  <c:v>161</c:v>
                </c:pt>
                <c:pt idx="17">
                  <c:v>208</c:v>
                </c:pt>
                <c:pt idx="18">
                  <c:v>216</c:v>
                </c:pt>
                <c:pt idx="19">
                  <c:v>272</c:v>
                </c:pt>
              </c:numCache>
            </c:numRef>
          </c:val>
          <c:extLst xmlns:c16r2="http://schemas.microsoft.com/office/drawing/2015/06/chart">
            <c:ext xmlns:c16="http://schemas.microsoft.com/office/drawing/2014/chart" uri="{C3380CC4-5D6E-409C-BE32-E72D297353CC}">
              <c16:uniqueId val="{00000001-3AE7-4FDD-983C-F28E68E44DD5}"/>
            </c:ext>
          </c:extLst>
        </c:ser>
        <c:dLbls>
          <c:showLegendKey val="0"/>
          <c:showVal val="0"/>
          <c:showCatName val="0"/>
          <c:showSerName val="0"/>
          <c:showPercent val="0"/>
          <c:showBubbleSize val="0"/>
        </c:dLbls>
        <c:gapWidth val="219"/>
        <c:overlap val="-27"/>
        <c:axId val="399661472"/>
        <c:axId val="399665000"/>
      </c:barChart>
      <c:lineChart>
        <c:grouping val="standard"/>
        <c:varyColors val="0"/>
        <c:ser>
          <c:idx val="2"/>
          <c:order val="2"/>
          <c:tx>
            <c:strRef>
              <c:f>'Requirement Supply Oct 21'!$A$4</c:f>
              <c:strCache>
                <c:ptCount val="1"/>
                <c:pt idx="0">
                  <c:v>Local Plan 2036 Housing Requirement</c:v>
                </c:pt>
              </c:strCache>
            </c:strRef>
          </c:tx>
          <c:spPr>
            <a:ln w="28575" cap="rnd">
              <a:solidFill>
                <a:srgbClr val="0070C0"/>
              </a:solidFill>
              <a:round/>
            </a:ln>
            <a:effectLst/>
          </c:spPr>
          <c:marker>
            <c:symbol val="none"/>
          </c:marker>
          <c:cat>
            <c:strRef>
              <c:f>'Requirement Supply Oct 21'!$B$1:$U$1</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'Requirement Supply Oct 21'!$B$4:$U$4</c:f>
              <c:numCache>
                <c:formatCode>General</c:formatCode>
                <c:ptCount val="20"/>
                <c:pt idx="0">
                  <c:v>475</c:v>
                </c:pt>
                <c:pt idx="1">
                  <c:v>475</c:v>
                </c:pt>
                <c:pt idx="2">
                  <c:v>475</c:v>
                </c:pt>
                <c:pt idx="3">
                  <c:v>475</c:v>
                </c:pt>
                <c:pt idx="4">
                  <c:v>475</c:v>
                </c:pt>
                <c:pt idx="5">
                  <c:v>567</c:v>
                </c:pt>
                <c:pt idx="6">
                  <c:v>567</c:v>
                </c:pt>
                <c:pt idx="7">
                  <c:v>567</c:v>
                </c:pt>
                <c:pt idx="8">
                  <c:v>567</c:v>
                </c:pt>
                <c:pt idx="9">
                  <c:v>567</c:v>
                </c:pt>
                <c:pt idx="10">
                  <c:v>567</c:v>
                </c:pt>
                <c:pt idx="11">
                  <c:v>567</c:v>
                </c:pt>
                <c:pt idx="12">
                  <c:v>567</c:v>
                </c:pt>
                <c:pt idx="13">
                  <c:v>567</c:v>
                </c:pt>
                <c:pt idx="14">
                  <c:v>567</c:v>
                </c:pt>
                <c:pt idx="15">
                  <c:v>567</c:v>
                </c:pt>
                <c:pt idx="16">
                  <c:v>567</c:v>
                </c:pt>
                <c:pt idx="17">
                  <c:v>567</c:v>
                </c:pt>
                <c:pt idx="18">
                  <c:v>567</c:v>
                </c:pt>
                <c:pt idx="19">
                  <c:v>567</c:v>
                </c:pt>
              </c:numCache>
            </c:numRef>
          </c:val>
          <c:smooth val="0"/>
          <c:extLst xmlns:c16r2="http://schemas.microsoft.com/office/drawing/2015/06/chart">
            <c:ext xmlns:c16="http://schemas.microsoft.com/office/drawing/2014/chart" uri="{C3380CC4-5D6E-409C-BE32-E72D297353CC}">
              <c16:uniqueId val="{00000002-3AE7-4FDD-983C-F28E68E44DD5}"/>
            </c:ext>
          </c:extLst>
        </c:ser>
        <c:dLbls>
          <c:showLegendKey val="0"/>
          <c:showVal val="0"/>
          <c:showCatName val="0"/>
          <c:showSerName val="0"/>
          <c:showPercent val="0"/>
          <c:showBubbleSize val="0"/>
        </c:dLbls>
        <c:marker val="1"/>
        <c:smooth val="0"/>
        <c:axId val="399661472"/>
        <c:axId val="399665000"/>
        <c:extLst xmlns:c16r2="http://schemas.microsoft.com/office/drawing/2015/06/chart">
          <c:ext xmlns:c15="http://schemas.microsoft.com/office/drawing/2012/chart" uri="{02D57815-91ED-43cb-92C2-25804820EDAC}">
            <c15:filteredLineSeries>
              <c15:ser>
                <c:idx val="3"/>
                <c:order val="3"/>
                <c:tx>
                  <c:strRef>
                    <c:extLst xmlns:c16r2="http://schemas.microsoft.com/office/drawing/2015/06/chart">
                      <c:ext uri="{02D57815-91ED-43cb-92C2-25804820EDAC}">
                        <c15:formulaRef>
                          <c15:sqref>'Requirement Supply Oct 21'!$A$5</c15:sqref>
                        </c15:formulaRef>
                      </c:ext>
                    </c:extLst>
                    <c:strCache>
                      <c:ptCount val="1"/>
                      <c:pt idx="0">
                        <c:v>Manage: Annual requirement taking account of housing delivered / projected</c:v>
                      </c:pt>
                    </c:strCache>
                  </c:strRef>
                </c:tx>
                <c:spPr>
                  <a:ln w="28575" cap="rnd">
                    <a:solidFill>
                      <a:schemeClr val="accent4"/>
                    </a:solidFill>
                    <a:round/>
                  </a:ln>
                  <a:effectLst/>
                </c:spPr>
                <c:marker>
                  <c:symbol val="none"/>
                </c:marker>
                <c:cat>
                  <c:strRef>
                    <c:extLst xmlns:c16r2="http://schemas.microsoft.com/office/drawing/2015/06/chart">
                      <c:ext uri="{02D57815-91ED-43cb-92C2-25804820EDAC}">
                        <c15:formulaRef>
                          <c15:sqref>'Requirement Supply Oct 21'!$B$1:$U$1</c15:sqref>
                        </c15:formulaRef>
                      </c:ext>
                    </c:extLst>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extLst xmlns:c16r2="http://schemas.microsoft.com/office/drawing/2015/06/chart">
                      <c:ext uri="{02D57815-91ED-43cb-92C2-25804820EDAC}">
                        <c15:formulaRef>
                          <c15:sqref>'Requirement Supply Oct 21'!$B$5:$U$5</c15:sqref>
                        </c15:formulaRef>
                      </c:ext>
                    </c:extLst>
                    <c:numCache>
                      <c:formatCode>General</c:formatCode>
                      <c:ptCount val="20"/>
                      <c:pt idx="0">
                        <c:v>40</c:v>
                      </c:pt>
                      <c:pt idx="1">
                        <c:v>142</c:v>
                      </c:pt>
                      <c:pt idx="2">
                        <c:v>261</c:v>
                      </c:pt>
                      <c:pt idx="3">
                        <c:v>-48</c:v>
                      </c:pt>
                      <c:pt idx="4">
                        <c:v>-316</c:v>
                      </c:pt>
                      <c:pt idx="5">
                        <c:v>-280</c:v>
                      </c:pt>
                      <c:pt idx="6">
                        <c:v>-489</c:v>
                      </c:pt>
                      <c:pt idx="7">
                        <c:v>-655</c:v>
                      </c:pt>
                      <c:pt idx="8">
                        <c:v>-849</c:v>
                      </c:pt>
                      <c:pt idx="9">
                        <c:v>-1393</c:v>
                      </c:pt>
                      <c:pt idx="10">
                        <c:v>-2326</c:v>
                      </c:pt>
                      <c:pt idx="11">
                        <c:v>-2424</c:v>
                      </c:pt>
                      <c:pt idx="12">
                        <c:v>-2595</c:v>
                      </c:pt>
                      <c:pt idx="13">
                        <c:v>-2538</c:v>
                      </c:pt>
                      <c:pt idx="14">
                        <c:v>-2502</c:v>
                      </c:pt>
                      <c:pt idx="15">
                        <c:v>-2136</c:v>
                      </c:pt>
                      <c:pt idx="16">
                        <c:v>-1730</c:v>
                      </c:pt>
                      <c:pt idx="17">
                        <c:v>-1371</c:v>
                      </c:pt>
                      <c:pt idx="18">
                        <c:v>-1020</c:v>
                      </c:pt>
                      <c:pt idx="19">
                        <c:v>-725</c:v>
                      </c:pt>
                    </c:numCache>
                  </c:numRef>
                </c:val>
                <c:smooth val="0"/>
                <c:extLst xmlns:c16r2="http://schemas.microsoft.com/office/drawing/2015/06/chart">
                  <c:ext xmlns:c16="http://schemas.microsoft.com/office/drawing/2014/chart" uri="{C3380CC4-5D6E-409C-BE32-E72D297353CC}">
                    <c16:uniqueId val="{00000003-3AE7-4FDD-983C-F28E68E44DD5}"/>
                  </c:ext>
                </c:extLst>
              </c15:ser>
            </c15:filteredLineSeries>
          </c:ext>
        </c:extLst>
      </c:lineChart>
      <c:catAx>
        <c:axId val="39966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Monitoring 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5000"/>
        <c:crosses val="autoZero"/>
        <c:auto val="1"/>
        <c:lblAlgn val="ctr"/>
        <c:lblOffset val="100"/>
        <c:noMultiLvlLbl val="0"/>
      </c:catAx>
      <c:valAx>
        <c:axId val="399665000"/>
        <c:scaling>
          <c:orientation val="minMax"/>
          <c:max val="1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housing completions/projections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1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'Requirement Supply Oct 21 (2)'!$A$2</c:f>
              <c:strCache>
                <c:ptCount val="1"/>
                <c:pt idx="0">
                  <c:v>Cumulative completions / projected completions</c:v>
                </c:pt>
              </c:strCache>
            </c:strRef>
          </c:tx>
          <c:spPr>
            <a:ln w="28575" cap="rnd">
              <a:solidFill>
                <a:schemeClr val="accent1"/>
              </a:solidFill>
              <a:round/>
            </a:ln>
            <a:effectLst/>
          </c:spPr>
          <c:marker>
            <c:symbol val="none"/>
          </c:marker>
          <c:cat>
            <c:strRef>
              <c:f>'Requirement Supply Oct 21 (2)'!$B$1:$U$1</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'Requirement Supply Oct 21 (2)'!$X$13:$AQ$13</c:f>
              <c:numCache>
                <c:formatCode>General</c:formatCode>
                <c:ptCount val="20"/>
                <c:pt idx="0">
                  <c:v>435</c:v>
                </c:pt>
                <c:pt idx="1">
                  <c:v>808</c:v>
                </c:pt>
                <c:pt idx="2">
                  <c:v>1164</c:v>
                </c:pt>
                <c:pt idx="3">
                  <c:v>1948</c:v>
                </c:pt>
                <c:pt idx="4">
                  <c:v>2691</c:v>
                </c:pt>
                <c:pt idx="5">
                  <c:v>3222</c:v>
                </c:pt>
                <c:pt idx="6">
                  <c:v>3998</c:v>
                </c:pt>
                <c:pt idx="7">
                  <c:v>4731</c:v>
                </c:pt>
                <c:pt idx="8">
                  <c:v>5492</c:v>
                </c:pt>
                <c:pt idx="9">
                  <c:v>6603</c:v>
                </c:pt>
                <c:pt idx="10">
                  <c:v>8103</c:v>
                </c:pt>
                <c:pt idx="11">
                  <c:v>8768</c:v>
                </c:pt>
                <c:pt idx="12">
                  <c:v>9506</c:v>
                </c:pt>
                <c:pt idx="13">
                  <c:v>10016</c:v>
                </c:pt>
                <c:pt idx="14">
                  <c:v>10547</c:v>
                </c:pt>
                <c:pt idx="15">
                  <c:v>10748</c:v>
                </c:pt>
                <c:pt idx="16">
                  <c:v>10909</c:v>
                </c:pt>
                <c:pt idx="17">
                  <c:v>11117</c:v>
                </c:pt>
                <c:pt idx="18">
                  <c:v>11333</c:v>
                </c:pt>
                <c:pt idx="19">
                  <c:v>11605</c:v>
                </c:pt>
              </c:numCache>
            </c:numRef>
          </c:val>
          <c:smooth val="0"/>
        </c:ser>
        <c:ser>
          <c:idx val="1"/>
          <c:order val="1"/>
          <c:tx>
            <c:strRef>
              <c:f>'Requirement Supply Oct 21 (2)'!$A$5</c:f>
              <c:strCache>
                <c:ptCount val="1"/>
                <c:pt idx="0">
                  <c:v>Cumulative target </c:v>
                </c:pt>
              </c:strCache>
            </c:strRef>
          </c:tx>
          <c:spPr>
            <a:ln w="28575" cap="rnd">
              <a:solidFill>
                <a:schemeClr val="accent2"/>
              </a:solidFill>
              <a:round/>
            </a:ln>
            <a:effectLst/>
          </c:spPr>
          <c:marker>
            <c:symbol val="none"/>
          </c:marker>
          <c:cat>
            <c:strRef>
              <c:f>'Requirement Supply Oct 21 (2)'!$B$1:$U$1</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'Requirement Supply Oct 21 (2)'!$B$5:$U$5</c:f>
              <c:numCache>
                <c:formatCode>General</c:formatCode>
                <c:ptCount val="20"/>
                <c:pt idx="0">
                  <c:v>475</c:v>
                </c:pt>
                <c:pt idx="1">
                  <c:v>950</c:v>
                </c:pt>
                <c:pt idx="2">
                  <c:v>1425</c:v>
                </c:pt>
                <c:pt idx="3">
                  <c:v>1900</c:v>
                </c:pt>
                <c:pt idx="4">
                  <c:v>2375</c:v>
                </c:pt>
                <c:pt idx="5">
                  <c:v>2942</c:v>
                </c:pt>
                <c:pt idx="6">
                  <c:v>3509</c:v>
                </c:pt>
                <c:pt idx="7">
                  <c:v>4076</c:v>
                </c:pt>
                <c:pt idx="8">
                  <c:v>4643</c:v>
                </c:pt>
                <c:pt idx="9">
                  <c:v>5210</c:v>
                </c:pt>
                <c:pt idx="10">
                  <c:v>5777</c:v>
                </c:pt>
                <c:pt idx="11">
                  <c:v>6344</c:v>
                </c:pt>
                <c:pt idx="12">
                  <c:v>6911</c:v>
                </c:pt>
                <c:pt idx="13">
                  <c:v>7478</c:v>
                </c:pt>
                <c:pt idx="14">
                  <c:v>8045</c:v>
                </c:pt>
                <c:pt idx="15">
                  <c:v>8612</c:v>
                </c:pt>
                <c:pt idx="16">
                  <c:v>9179</c:v>
                </c:pt>
                <c:pt idx="17">
                  <c:v>9746</c:v>
                </c:pt>
                <c:pt idx="18">
                  <c:v>10313</c:v>
                </c:pt>
                <c:pt idx="19">
                  <c:v>10880</c:v>
                </c:pt>
              </c:numCache>
            </c:numRef>
          </c:val>
          <c:smooth val="0"/>
        </c:ser>
        <c:dLbls>
          <c:showLegendKey val="0"/>
          <c:showVal val="0"/>
          <c:showCatName val="0"/>
          <c:showSerName val="0"/>
          <c:showPercent val="0"/>
          <c:showBubbleSize val="0"/>
        </c:dLbls>
        <c:smooth val="0"/>
        <c:axId val="399661864"/>
        <c:axId val="399662256"/>
      </c:lineChart>
      <c:catAx>
        <c:axId val="399661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Monitoring period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2256"/>
        <c:crosses val="autoZero"/>
        <c:auto val="1"/>
        <c:lblAlgn val="ctr"/>
        <c:lblOffset val="100"/>
        <c:noMultiLvlLbl val="0"/>
      </c:catAx>
      <c:valAx>
        <c:axId val="399662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dwelligs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1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'Affordable Completions'!$B$1</c:f>
              <c:strCache>
                <c:ptCount val="1"/>
                <c:pt idx="0">
                  <c:v>Completions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'Affordable Completions'!$A$2:$A$7</c:f>
              <c:strCache>
                <c:ptCount val="5"/>
                <c:pt idx="0">
                  <c:v>2016-17</c:v>
                </c:pt>
                <c:pt idx="1">
                  <c:v>2017-18</c:v>
                </c:pt>
                <c:pt idx="2">
                  <c:v>2018-19</c:v>
                </c:pt>
                <c:pt idx="3">
                  <c:v>2019-20</c:v>
                </c:pt>
                <c:pt idx="4">
                  <c:v>2020-21</c:v>
                </c:pt>
              </c:strCache>
            </c:strRef>
          </c:cat>
          <c:val>
            <c:numRef>
              <c:f>'Affordable Completions'!$B$2:$B$7</c:f>
              <c:numCache>
                <c:formatCode>General</c:formatCode>
                <c:ptCount val="5"/>
                <c:pt idx="0">
                  <c:v>20</c:v>
                </c:pt>
                <c:pt idx="1">
                  <c:v>18</c:v>
                </c:pt>
                <c:pt idx="2">
                  <c:v>105</c:v>
                </c:pt>
                <c:pt idx="3">
                  <c:v>104</c:v>
                </c:pt>
                <c:pt idx="4">
                  <c:v>144</c:v>
                </c:pt>
              </c:numCache>
            </c:numRef>
          </c:val>
          <c:extLst xmlns:c16r2="http://schemas.microsoft.com/office/drawing/2015/06/chart">
            <c:ext xmlns:c16="http://schemas.microsoft.com/office/drawing/2014/chart" uri="{C3380CC4-5D6E-409C-BE32-E72D297353CC}">
              <c16:uniqueId val="{00000000-EF54-41EB-B4FC-AD721F04D0B4}"/>
            </c:ext>
          </c:extLst>
        </c:ser>
        <c:dLbls>
          <c:dLblPos val="outEnd"/>
          <c:showLegendKey val="0"/>
          <c:showVal val="1"/>
          <c:showCatName val="0"/>
          <c:showSerName val="0"/>
          <c:showPercent val="0"/>
          <c:showBubbleSize val="0"/>
        </c:dLbls>
        <c:gapWidth val="219"/>
        <c:overlap val="-27"/>
        <c:axId val="399664216"/>
        <c:axId val="399665392"/>
      </c:barChart>
      <c:catAx>
        <c:axId val="3996642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Monitoring  Year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5392"/>
        <c:crosses val="autoZero"/>
        <c:auto val="1"/>
        <c:lblAlgn val="ctr"/>
        <c:lblOffset val="100"/>
        <c:noMultiLvlLbl val="0"/>
      </c:catAx>
      <c:valAx>
        <c:axId val="39966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Affordable Dwellings Completed</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64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BBF8FC6A0F074E806251DA7E1B425A" ma:contentTypeVersion="6" ma:contentTypeDescription="Create a new document." ma:contentTypeScope="" ma:versionID="b64590df0dbb61b1db775364c0f5d3af">
  <xsd:schema xmlns:xsd="http://www.w3.org/2001/XMLSchema" xmlns:xs="http://www.w3.org/2001/XMLSchema" xmlns:p="http://schemas.microsoft.com/office/2006/metadata/properties" xmlns:ns2="3a4bcc9d-2574-4af6-ad8f-d0baa2bb729f" xmlns:ns3="deb32180-f6be-4156-bd87-94caf0a8a105" targetNamespace="http://schemas.microsoft.com/office/2006/metadata/properties" ma:root="true" ma:fieldsID="04e45282bca4772b67fb2187918be6df" ns2:_="" ns3:_="">
    <xsd:import namespace="3a4bcc9d-2574-4af6-ad8f-d0baa2bb729f"/>
    <xsd:import namespace="deb32180-f6be-4156-bd87-94caf0a8a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bcc9d-2574-4af6-ad8f-d0baa2bb7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b32180-f6be-4156-bd87-94caf0a8a1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DEED9-F979-4317-8FA6-4881EDA8AD64}">
  <ds:schemaRefs>
    <ds:schemaRef ds:uri="3a4bcc9d-2574-4af6-ad8f-d0baa2bb729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eb32180-f6be-4156-bd87-94caf0a8a105"/>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7A9A82B-5DAD-4728-A851-C40AEB15E948}">
  <ds:schemaRefs>
    <ds:schemaRef ds:uri="http://schemas.microsoft.com/sharepoint/v3/contenttype/forms"/>
  </ds:schemaRefs>
</ds:datastoreItem>
</file>

<file path=customXml/itemProps3.xml><?xml version="1.0" encoding="utf-8"?>
<ds:datastoreItem xmlns:ds="http://schemas.openxmlformats.org/officeDocument/2006/customXml" ds:itemID="{0CDD3690-D973-49DE-B2E9-E9A466A9F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bcc9d-2574-4af6-ad8f-d0baa2bb729f"/>
    <ds:schemaRef ds:uri="deb32180-f6be-4156-bd87-94caf0a8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E0F62E-0D58-4ED5-953F-72EC4C379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58</Pages>
  <Words>17833</Words>
  <Characters>101651</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119246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 Amanda</dc:creator>
  <cp:keywords/>
  <dc:description/>
  <cp:lastModifiedBy>SUTTON Alexander</cp:lastModifiedBy>
  <cp:revision>24</cp:revision>
  <dcterms:created xsi:type="dcterms:W3CDTF">2021-11-16T20:22:00Z</dcterms:created>
  <dcterms:modified xsi:type="dcterms:W3CDTF">2021-11-18T13:50:00Z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0x01010022BBF8FC6A0F074E806251DA7E1B425A</vt:lpwstr>
  </property>
</Properties>
</file>